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693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B02AD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867863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03.180</w:t>
            </w:r>
            <w:r>
              <w:rPr>
                <w:rFonts w:ascii="黑体" w:hAnsi="黑体" w:eastAsia="黑体"/>
                <w:sz w:val="21"/>
                <w:szCs w:val="21"/>
              </w:rPr>
              <w:fldChar w:fldCharType="end"/>
            </w:r>
            <w:bookmarkEnd w:id="0"/>
          </w:p>
        </w:tc>
      </w:tr>
      <w:tr w14:paraId="02C2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FD27F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88D5A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7F40C6B">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CCA</w:t>
                  </w:r>
                  <w:r>
                    <w:fldChar w:fldCharType="end"/>
                  </w:r>
                  <w:bookmarkEnd w:id="1"/>
                </w:p>
              </w:tc>
            </w:tr>
          </w:tbl>
          <w:p w14:paraId="71CA8E5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A.18</w:t>
            </w:r>
            <w:r>
              <w:rPr>
                <w:rFonts w:ascii="黑体" w:hAnsi="黑体" w:eastAsia="黑体"/>
                <w:sz w:val="21"/>
                <w:szCs w:val="21"/>
              </w:rPr>
              <w:fldChar w:fldCharType="end"/>
            </w:r>
            <w:bookmarkEnd w:id="2"/>
          </w:p>
        </w:tc>
      </w:tr>
    </w:tbl>
    <w:p w14:paraId="0C569F93">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中</w:t>
      </w:r>
      <w:r>
        <w:rPr>
          <w:rFonts w:hint="eastAsia" w:ascii="黑体" w:eastAsia="黑体"/>
          <w:b w:val="0"/>
          <w:w w:val="100"/>
          <w:sz w:val="48"/>
        </w:rPr>
        <w:t>国烹饪协会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2347BB4">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27AAD2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7519D2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1063E1A">
      <w:pPr>
        <w:pStyle w:val="50"/>
        <w:framePr w:w="9639" w:h="6976" w:hRule="exact" w:hSpace="0" w:vSpace="0" w:wrap="around" w:hAnchor="page" w:y="6408"/>
        <w:jc w:val="center"/>
        <w:rPr>
          <w:rFonts w:hint="eastAsia" w:ascii="黑体" w:hAnsi="黑体" w:eastAsia="黑体"/>
          <w:b w:val="0"/>
          <w:bCs w:val="0"/>
          <w:w w:val="100"/>
        </w:rPr>
      </w:pPr>
    </w:p>
    <w:p w14:paraId="578944F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国际中餐学院建设与运行管理要求</w:t>
      </w:r>
      <w:r>
        <w:fldChar w:fldCharType="end"/>
      </w:r>
      <w:bookmarkEnd w:id="9"/>
    </w:p>
    <w:p w14:paraId="482853B5">
      <w:pPr>
        <w:framePr w:w="9639" w:h="6974" w:hRule="exact" w:wrap="around" w:vAnchor="page" w:hAnchor="page" w:x="1419" w:y="6408" w:anchorLock="1"/>
        <w:ind w:left="-1418"/>
      </w:pPr>
    </w:p>
    <w:p w14:paraId="4E2030A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Requirements for </w:t>
      </w:r>
      <w:r>
        <w:rPr>
          <w:rFonts w:hint="eastAsia" w:eastAsia="黑体"/>
          <w:szCs w:val="28"/>
          <w:lang w:val="en-US" w:eastAsia="zh-CN"/>
        </w:rPr>
        <w:t>c</w:t>
      </w:r>
      <w:r>
        <w:rPr>
          <w:rFonts w:hint="eastAsia" w:eastAsia="黑体"/>
          <w:szCs w:val="28"/>
        </w:rPr>
        <w:t xml:space="preserve">onstruction and </w:t>
      </w:r>
      <w:r>
        <w:rPr>
          <w:rFonts w:hint="eastAsia" w:eastAsia="黑体"/>
          <w:szCs w:val="28"/>
          <w:lang w:val="en-US" w:eastAsia="zh-CN"/>
        </w:rPr>
        <w:t>o</w:t>
      </w:r>
      <w:r>
        <w:rPr>
          <w:rFonts w:hint="eastAsia" w:eastAsia="黑体"/>
          <w:szCs w:val="28"/>
        </w:rPr>
        <w:t xml:space="preserve">peration of </w:t>
      </w:r>
      <w:r>
        <w:rPr>
          <w:rFonts w:hint="eastAsia" w:eastAsia="黑体"/>
          <w:szCs w:val="28"/>
          <w:lang w:val="en-US" w:eastAsia="zh-CN"/>
        </w:rPr>
        <w:t>I</w:t>
      </w:r>
      <w:r>
        <w:rPr>
          <w:rFonts w:hint="eastAsia" w:eastAsia="黑体"/>
          <w:szCs w:val="28"/>
        </w:rPr>
        <w:t xml:space="preserve">nternational </w:t>
      </w:r>
      <w:r>
        <w:rPr>
          <w:rFonts w:hint="eastAsia" w:eastAsia="黑体"/>
          <w:szCs w:val="28"/>
          <w:lang w:val="en-US" w:eastAsia="zh-CN"/>
        </w:rPr>
        <w:t>C</w:t>
      </w:r>
      <w:r>
        <w:rPr>
          <w:rFonts w:hint="eastAsia" w:eastAsia="黑体"/>
          <w:szCs w:val="28"/>
        </w:rPr>
        <w:t xml:space="preserve">hinese </w:t>
      </w:r>
      <w:r>
        <w:rPr>
          <w:rFonts w:hint="eastAsia" w:eastAsia="黑体"/>
          <w:szCs w:val="28"/>
          <w:lang w:val="en-US" w:eastAsia="zh-CN"/>
        </w:rPr>
        <w:t>C</w:t>
      </w:r>
      <w:r>
        <w:rPr>
          <w:rFonts w:hint="eastAsia" w:eastAsia="黑体"/>
          <w:szCs w:val="28"/>
        </w:rPr>
        <w:t xml:space="preserve">uisine </w:t>
      </w:r>
      <w:r>
        <w:rPr>
          <w:rFonts w:hint="eastAsia" w:eastAsia="黑体"/>
          <w:szCs w:val="28"/>
          <w:lang w:val="en-US" w:eastAsia="zh-CN"/>
        </w:rPr>
        <w:t>C</w:t>
      </w:r>
      <w:r>
        <w:rPr>
          <w:rFonts w:hint="eastAsia" w:eastAsia="黑体"/>
          <w:szCs w:val="28"/>
        </w:rPr>
        <w:t>ollege</w:t>
      </w:r>
      <w:r>
        <w:rPr>
          <w:rFonts w:eastAsia="黑体"/>
          <w:szCs w:val="28"/>
        </w:rPr>
        <w:fldChar w:fldCharType="end"/>
      </w:r>
      <w:bookmarkEnd w:id="10"/>
    </w:p>
    <w:p w14:paraId="43F65D37">
      <w:pPr>
        <w:framePr w:w="9639" w:h="6974" w:hRule="exact" w:wrap="around" w:vAnchor="page" w:hAnchor="page" w:x="1419" w:y="6408" w:anchorLock="1"/>
        <w:spacing w:line="760" w:lineRule="exact"/>
        <w:ind w:left="-1418"/>
      </w:pPr>
    </w:p>
    <w:p w14:paraId="5D62E0D1">
      <w:pPr>
        <w:pStyle w:val="125"/>
        <w:framePr w:w="9639" w:h="6974" w:hRule="exact" w:wrap="around" w:vAnchor="page" w:hAnchor="page" w:x="1419" w:y="6408" w:anchorLock="1"/>
        <w:textAlignment w:val="bottom"/>
        <w:rPr>
          <w:rFonts w:eastAsia="黑体"/>
          <w:szCs w:val="28"/>
        </w:rPr>
      </w:pPr>
    </w:p>
    <w:p w14:paraId="3557A9F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F201BC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DD5AFB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9C25824">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FBC4F6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63F9CC1">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国烹饪协会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16D6CA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ED587F">
      <w:pPr>
        <w:pStyle w:val="89"/>
        <w:spacing w:before="900" w:after="360"/>
      </w:pPr>
      <w:bookmarkStart w:id="21" w:name="BookMark2"/>
      <w:r>
        <w:rPr>
          <w:rFonts w:hint="eastAsia"/>
          <w:spacing w:val="320"/>
        </w:rPr>
        <w:t>前</w:t>
      </w:r>
      <w:r>
        <w:rPr>
          <w:rFonts w:hint="eastAsia"/>
        </w:rPr>
        <w:t>言</w:t>
      </w:r>
    </w:p>
    <w:p w14:paraId="0568CB38">
      <w:pPr>
        <w:pStyle w:val="56"/>
        <w:ind w:firstLine="420"/>
      </w:pPr>
      <w:r>
        <w:rPr>
          <w:rFonts w:hint="eastAsia"/>
        </w:rPr>
        <w:t>本文件按照GB/T 1.1—2020《标准化工作导则  第1部分：标准化文件的结构和起草规则》的规定起草。</w:t>
      </w:r>
    </w:p>
    <w:p w14:paraId="2048D6F9">
      <w:pPr>
        <w:pStyle w:val="56"/>
        <w:ind w:firstLine="420"/>
      </w:pPr>
      <w:r>
        <w:rPr>
          <w:rFonts w:hint="eastAsia"/>
        </w:rPr>
        <w:t>请注意本文件的某些内容可能涉及专利。本文件的发布机构不承担识别专利的责任。</w:t>
      </w:r>
    </w:p>
    <w:p w14:paraId="256BC7B4">
      <w:pPr>
        <w:pStyle w:val="56"/>
        <w:ind w:firstLine="420"/>
      </w:pPr>
      <w:r>
        <w:rPr>
          <w:rFonts w:hint="eastAsia"/>
        </w:rPr>
        <w:t>本文件由中国烹饪协会提出并归口。</w:t>
      </w:r>
    </w:p>
    <w:p w14:paraId="32D9158A">
      <w:pPr>
        <w:pStyle w:val="56"/>
        <w:ind w:firstLine="420"/>
      </w:pPr>
      <w:r>
        <w:rPr>
          <w:rFonts w:hint="eastAsia"/>
        </w:rPr>
        <w:t>本文件起草单位：</w:t>
      </w:r>
    </w:p>
    <w:p w14:paraId="4D1C1E1B">
      <w:pPr>
        <w:pStyle w:val="56"/>
        <w:ind w:firstLine="420"/>
      </w:pPr>
      <w:r>
        <w:rPr>
          <w:rFonts w:hint="eastAsia"/>
        </w:rPr>
        <w:t>本文件主要起草人：</w:t>
      </w:r>
    </w:p>
    <w:p w14:paraId="4ABBDCE1">
      <w:pPr>
        <w:pStyle w:val="56"/>
        <w:ind w:firstLine="420"/>
      </w:pPr>
    </w:p>
    <w:p w14:paraId="2415933C">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6ABE230F">
      <w:pPr>
        <w:spacing w:line="20" w:lineRule="exact"/>
        <w:jc w:val="center"/>
        <w:rPr>
          <w:rFonts w:hint="eastAsia" w:ascii="黑体" w:hAnsi="黑体" w:eastAsia="黑体"/>
          <w:sz w:val="32"/>
          <w:szCs w:val="32"/>
        </w:rPr>
      </w:pPr>
      <w:bookmarkStart w:id="22" w:name="BookMark4"/>
    </w:p>
    <w:p w14:paraId="1B53F47B">
      <w:pPr>
        <w:spacing w:line="20" w:lineRule="exact"/>
        <w:jc w:val="center"/>
        <w:rPr>
          <w:rFonts w:hint="eastAsia" w:ascii="黑体" w:hAnsi="黑体" w:eastAsia="黑体"/>
          <w:sz w:val="32"/>
          <w:szCs w:val="32"/>
        </w:rPr>
      </w:pPr>
    </w:p>
    <w:sdt>
      <w:sdtPr>
        <w:tag w:val="NEW_STAND_NAME"/>
        <w:id w:val="595910757"/>
        <w:lock w:val="sdtLocked"/>
        <w:placeholder>
          <w:docPart w:val="BEE606ABC37048DF89EC5F1638F0CC11"/>
        </w:placeholder>
      </w:sdtPr>
      <w:sdtContent>
        <w:p w14:paraId="7ED6DA16">
          <w:pPr>
            <w:pStyle w:val="177"/>
            <w:spacing w:before="240" w:beforeLines="100" w:after="528" w:afterLines="220"/>
            <w:rPr>
              <w:rFonts w:hint="eastAsia"/>
            </w:rPr>
          </w:pPr>
          <w:bookmarkStart w:id="23" w:name="NEW_STAND_NAME"/>
          <w:r>
            <w:rPr>
              <w:rFonts w:hint="eastAsia"/>
            </w:rPr>
            <w:t>国际中餐学院建设与运行管理要求</w:t>
          </w:r>
        </w:p>
      </w:sdtContent>
    </w:sdt>
    <w:bookmarkEnd w:id="23"/>
    <w:p w14:paraId="1379822B">
      <w:pPr>
        <w:pStyle w:val="104"/>
        <w:spacing w:before="240" w:after="240"/>
      </w:pPr>
      <w:bookmarkStart w:id="24" w:name="_Toc26718930"/>
      <w:bookmarkStart w:id="25" w:name="_Toc97192964"/>
      <w:bookmarkStart w:id="26" w:name="_Toc26648465"/>
      <w:bookmarkStart w:id="27" w:name="_Toc26986771"/>
      <w:bookmarkStart w:id="28" w:name="_Toc24884211"/>
      <w:bookmarkStart w:id="29" w:name="_Toc24884218"/>
      <w:bookmarkStart w:id="30" w:name="_Toc26986530"/>
      <w:bookmarkStart w:id="31" w:name="_Toc17233325"/>
      <w:bookmarkStart w:id="32" w:name="_Toc17233333"/>
      <w:r>
        <w:rPr>
          <w:rFonts w:hint="eastAsia"/>
        </w:rPr>
        <w:t>范围</w:t>
      </w:r>
      <w:bookmarkEnd w:id="24"/>
      <w:bookmarkEnd w:id="25"/>
      <w:bookmarkEnd w:id="26"/>
      <w:bookmarkEnd w:id="27"/>
      <w:bookmarkEnd w:id="28"/>
      <w:bookmarkEnd w:id="29"/>
      <w:bookmarkEnd w:id="30"/>
      <w:bookmarkEnd w:id="31"/>
      <w:bookmarkEnd w:id="32"/>
    </w:p>
    <w:p w14:paraId="37836EFC">
      <w:pPr>
        <w:pStyle w:val="56"/>
        <w:ind w:firstLine="420"/>
      </w:pPr>
      <w:bookmarkStart w:id="33" w:name="_Toc26648466"/>
      <w:bookmarkStart w:id="34" w:name="_Toc17233334"/>
      <w:bookmarkStart w:id="35" w:name="_Toc24884219"/>
      <w:bookmarkStart w:id="36" w:name="_Toc17233326"/>
      <w:bookmarkStart w:id="37" w:name="_Toc24884212"/>
      <w:r>
        <w:rPr>
          <w:rFonts w:hint="eastAsia"/>
        </w:rPr>
        <w:t>本标准规定了国际中餐学院的基本要求、建设要求、运行与管理要求、评价与改进等内容。</w:t>
      </w:r>
    </w:p>
    <w:p w14:paraId="48457856">
      <w:pPr>
        <w:pStyle w:val="56"/>
        <w:ind w:firstLine="420"/>
      </w:pPr>
      <w:r>
        <w:rPr>
          <w:rFonts w:hint="eastAsia"/>
        </w:rPr>
        <w:t>本标准适用于国内职业院校、普通高校及相关教育机构，联合海外院校、行业组织、企业等主体，开展国际中餐学院的建设、运行、管理及评价工作。也适用于相关主管部门、行业组织对国际中餐学院的规范化指导与评价监督。</w:t>
      </w:r>
    </w:p>
    <w:p w14:paraId="2C265D53">
      <w:pPr>
        <w:pStyle w:val="104"/>
        <w:spacing w:before="240" w:after="240"/>
      </w:pPr>
      <w:bookmarkStart w:id="38" w:name="_Toc26718931"/>
      <w:bookmarkStart w:id="39" w:name="_Toc26986772"/>
      <w:bookmarkStart w:id="40" w:name="_Toc97192965"/>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277CACDC9B394A959CD39B46065880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D70A13">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7AFEA5">
      <w:pPr>
        <w:pStyle w:val="56"/>
        <w:ind w:firstLine="420"/>
      </w:pPr>
      <w:r>
        <w:rPr>
          <w:rFonts w:hint="eastAsia"/>
        </w:rPr>
        <w:t>GB/T 2261.1 职业分类与代码 第1部分：职业大类、中类、小类</w:t>
      </w:r>
    </w:p>
    <w:p w14:paraId="12AA5B57">
      <w:pPr>
        <w:pStyle w:val="56"/>
        <w:ind w:firstLine="420"/>
      </w:pPr>
      <w:r>
        <w:rPr>
          <w:rFonts w:hint="eastAsia"/>
        </w:rPr>
        <w:t>GB 14934 食品安全国家标准 餐饮服务通用卫生规范</w:t>
      </w:r>
    </w:p>
    <w:p w14:paraId="1617C26F">
      <w:pPr>
        <w:pStyle w:val="56"/>
        <w:ind w:firstLine="420"/>
      </w:pPr>
      <w:r>
        <w:rPr>
          <w:rFonts w:hint="eastAsia"/>
        </w:rPr>
        <w:t>GB/T 39270 职业教育产教融合评价规范</w:t>
      </w:r>
    </w:p>
    <w:p w14:paraId="288AE528">
      <w:pPr>
        <w:pStyle w:val="104"/>
        <w:spacing w:before="240" w:after="240"/>
      </w:pPr>
      <w:bookmarkStart w:id="42" w:name="_Toc97192966"/>
      <w:r>
        <w:rPr>
          <w:rFonts w:hint="eastAsia"/>
          <w:szCs w:val="21"/>
        </w:rPr>
        <w:t>术语和定义</w:t>
      </w:r>
      <w:bookmarkEnd w:id="42"/>
    </w:p>
    <w:sdt>
      <w:sdtPr>
        <w:id w:val="-1909835108"/>
        <w:placeholder>
          <w:docPart w:val="4C04794F17844698AC2427E5D58EEE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385F849">
          <w:pPr>
            <w:pStyle w:val="56"/>
            <w:ind w:firstLine="420"/>
          </w:pPr>
          <w:bookmarkStart w:id="43" w:name="_Toc26986532"/>
          <w:bookmarkEnd w:id="43"/>
          <w:r>
            <w:t>下列术语和定义适用于本文件。</w:t>
          </w:r>
        </w:p>
      </w:sdtContent>
    </w:sdt>
    <w:p w14:paraId="7592F0AB">
      <w:pPr>
        <w:pStyle w:val="105"/>
        <w:spacing w:before="120" w:after="120"/>
      </w:pPr>
      <w:r>
        <w:rPr>
          <w:rFonts w:hint="eastAsia"/>
        </w:rPr>
        <w:t>　</w:t>
      </w:r>
    </w:p>
    <w:p w14:paraId="2127BC8B">
      <w:pPr>
        <w:pStyle w:val="56"/>
        <w:ind w:firstLine="420"/>
        <w:rPr>
          <w:rFonts w:hint="eastAsia" w:ascii="黑体" w:hAnsi="黑体" w:eastAsia="黑体"/>
        </w:rPr>
      </w:pPr>
      <w:r>
        <w:rPr>
          <w:rFonts w:hint="eastAsia" w:ascii="黑体" w:hAnsi="黑体" w:eastAsia="黑体"/>
        </w:rPr>
        <w:t xml:space="preserve">国际中餐学院 International </w:t>
      </w:r>
      <w:r>
        <w:rPr>
          <w:rFonts w:hint="eastAsia" w:ascii="黑体" w:hAnsi="黑体" w:eastAsia="黑体"/>
          <w:lang w:val="en-US" w:eastAsia="zh-CN"/>
        </w:rPr>
        <w:t>C</w:t>
      </w:r>
      <w:r>
        <w:rPr>
          <w:rFonts w:hint="eastAsia" w:ascii="黑体" w:hAnsi="黑体" w:eastAsia="黑体"/>
        </w:rPr>
        <w:t xml:space="preserve">hinese </w:t>
      </w:r>
      <w:r>
        <w:rPr>
          <w:rFonts w:hint="eastAsia" w:ascii="黑体" w:hAnsi="黑体" w:eastAsia="黑体"/>
          <w:lang w:val="en-US" w:eastAsia="zh-CN"/>
        </w:rPr>
        <w:t>C</w:t>
      </w:r>
      <w:r>
        <w:rPr>
          <w:rFonts w:hint="eastAsia" w:ascii="黑体" w:hAnsi="黑体" w:eastAsia="黑体"/>
        </w:rPr>
        <w:t xml:space="preserve">uisine </w:t>
      </w:r>
      <w:r>
        <w:rPr>
          <w:rFonts w:hint="eastAsia" w:ascii="黑体" w:hAnsi="黑体" w:eastAsia="黑体"/>
          <w:lang w:val="en-US" w:eastAsia="zh-CN"/>
        </w:rPr>
        <w:t>C</w:t>
      </w:r>
      <w:r>
        <w:rPr>
          <w:rFonts w:hint="eastAsia" w:ascii="黑体" w:hAnsi="黑体" w:eastAsia="黑体"/>
        </w:rPr>
        <w:t>ollege</w:t>
      </w:r>
    </w:p>
    <w:p w14:paraId="0C78F40B">
      <w:pPr>
        <w:pStyle w:val="56"/>
        <w:ind w:firstLine="420"/>
      </w:pPr>
      <w:r>
        <w:rPr>
          <w:rFonts w:hint="eastAsia"/>
        </w:rPr>
        <w:t>依托鲁班工坊、中国华侨国际文化交流基地和海外惠侨工程中餐繁荣基地等平台，由国内院校联合行业组织、海外机构及餐饮企业共同建设，以培养具备国际化视野、通晓国际规则、精通中餐技艺、兼具文化传播能力的国际化中餐烹饪技术技能人才为核心，同时推动中餐文化国际传播、促进中外饮食文化交流的职业教育与文化交流的内设培训教育机构。</w:t>
      </w:r>
    </w:p>
    <w:p w14:paraId="173711C8">
      <w:pPr>
        <w:pStyle w:val="162"/>
      </w:pPr>
    </w:p>
    <w:p w14:paraId="36B1D995">
      <w:pPr>
        <w:pStyle w:val="56"/>
        <w:ind w:firstLine="420"/>
        <w:rPr>
          <w:rFonts w:hint="eastAsia" w:ascii="黑体" w:hAnsi="黑体" w:eastAsia="黑体"/>
        </w:rPr>
      </w:pPr>
      <w:r>
        <w:rPr>
          <w:rFonts w:hint="eastAsia" w:ascii="黑体" w:hAnsi="黑体" w:eastAsia="黑体"/>
        </w:rPr>
        <w:t xml:space="preserve">产教融合 </w:t>
      </w:r>
      <w:r>
        <w:rPr>
          <w:rFonts w:hint="eastAsia" w:ascii="黑体" w:hAnsi="黑体" w:eastAsia="黑体"/>
          <w:lang w:val="en-US" w:eastAsia="zh-CN"/>
        </w:rPr>
        <w:t>i</w:t>
      </w:r>
      <w:r>
        <w:rPr>
          <w:rFonts w:hint="eastAsia" w:ascii="黑体" w:hAnsi="黑体" w:eastAsia="黑体"/>
        </w:rPr>
        <w:t xml:space="preserve">ntegration of </w:t>
      </w:r>
      <w:r>
        <w:rPr>
          <w:rFonts w:hint="eastAsia" w:ascii="黑体" w:hAnsi="黑体" w:eastAsia="黑体"/>
          <w:lang w:val="en-US" w:eastAsia="zh-CN"/>
        </w:rPr>
        <w:t>i</w:t>
      </w:r>
      <w:r>
        <w:rPr>
          <w:rFonts w:hint="eastAsia" w:ascii="黑体" w:hAnsi="黑体" w:eastAsia="黑体"/>
        </w:rPr>
        <w:t xml:space="preserve">ndustry and </w:t>
      </w:r>
      <w:r>
        <w:rPr>
          <w:rFonts w:hint="eastAsia" w:ascii="黑体" w:hAnsi="黑体" w:eastAsia="黑体"/>
          <w:lang w:val="en-US" w:eastAsia="zh-CN"/>
        </w:rPr>
        <w:t>e</w:t>
      </w:r>
      <w:r>
        <w:rPr>
          <w:rFonts w:hint="eastAsia" w:ascii="黑体" w:hAnsi="黑体" w:eastAsia="黑体"/>
        </w:rPr>
        <w:t>ducation</w:t>
      </w:r>
    </w:p>
    <w:p w14:paraId="5FF4FE3F">
      <w:pPr>
        <w:pStyle w:val="56"/>
        <w:ind w:firstLine="420"/>
      </w:pPr>
      <w:r>
        <w:rPr>
          <w:rFonts w:hint="eastAsia"/>
        </w:rPr>
        <w:t>将餐饮产业发展需求与中餐人才培养过程紧密结合，建立校企协同、产教一体、共建共享、共进共赢的办学模式，实现教学与生产实践、技术研发、产业需求的深度衔接。</w:t>
      </w:r>
    </w:p>
    <w:p w14:paraId="54CA9DEA">
      <w:pPr>
        <w:pStyle w:val="105"/>
        <w:spacing w:before="120" w:after="120"/>
      </w:pPr>
      <w:r>
        <w:rPr>
          <w:rFonts w:hint="eastAsia"/>
        </w:rPr>
        <w:t>　</w:t>
      </w:r>
    </w:p>
    <w:p w14:paraId="7C18EA7A">
      <w:pPr>
        <w:pStyle w:val="56"/>
        <w:ind w:firstLine="420"/>
        <w:rPr>
          <w:rFonts w:hint="eastAsia" w:ascii="黑体" w:hAnsi="黑体" w:eastAsia="黑体"/>
        </w:rPr>
      </w:pPr>
      <w:r>
        <w:rPr>
          <w:rFonts w:hint="eastAsia" w:ascii="黑体" w:hAnsi="黑体" w:eastAsia="黑体"/>
        </w:rPr>
        <w:t xml:space="preserve">双师型教师 </w:t>
      </w:r>
      <w:r>
        <w:rPr>
          <w:rFonts w:hint="eastAsia" w:ascii="黑体" w:hAnsi="黑体" w:eastAsia="黑体"/>
          <w:lang w:val="en-US" w:eastAsia="zh-CN"/>
        </w:rPr>
        <w:t>d</w:t>
      </w:r>
      <w:bookmarkStart w:id="47" w:name="_GoBack"/>
      <w:bookmarkEnd w:id="47"/>
      <w:r>
        <w:rPr>
          <w:rFonts w:hint="eastAsia" w:ascii="黑体" w:hAnsi="黑体" w:eastAsia="黑体"/>
        </w:rPr>
        <w:t xml:space="preserve">ual-qualification </w:t>
      </w:r>
      <w:r>
        <w:rPr>
          <w:rFonts w:hint="eastAsia" w:ascii="黑体" w:hAnsi="黑体" w:eastAsia="黑体"/>
          <w:lang w:val="en-US" w:eastAsia="zh-CN"/>
        </w:rPr>
        <w:t>t</w:t>
      </w:r>
      <w:r>
        <w:rPr>
          <w:rFonts w:hint="eastAsia" w:ascii="黑体" w:hAnsi="黑体" w:eastAsia="黑体"/>
        </w:rPr>
        <w:t>eachers</w:t>
      </w:r>
    </w:p>
    <w:p w14:paraId="62E84DAB">
      <w:pPr>
        <w:pStyle w:val="56"/>
        <w:ind w:firstLine="420"/>
      </w:pPr>
      <w:r>
        <w:rPr>
          <w:rFonts w:hint="eastAsia"/>
        </w:rPr>
        <w:t>同时具备扎实的中餐专业理论教学能力和丰富的餐饮行业实践经验，持有相关职业技能等级证书或行业从业资质，能够胜任理论教学与实践指导的教师。</w:t>
      </w:r>
    </w:p>
    <w:p w14:paraId="04F88300">
      <w:pPr>
        <w:pStyle w:val="105"/>
        <w:spacing w:before="120" w:after="120"/>
      </w:pPr>
    </w:p>
    <w:p w14:paraId="4CC63D5D">
      <w:pPr>
        <w:pStyle w:val="56"/>
        <w:ind w:firstLine="420"/>
        <w:rPr>
          <w:rFonts w:hint="eastAsia" w:ascii="黑体" w:hAnsi="黑体" w:eastAsia="黑体"/>
        </w:rPr>
      </w:pPr>
      <w:r>
        <w:rPr>
          <w:rFonts w:hint="eastAsia" w:ascii="黑体" w:hAnsi="黑体" w:eastAsia="黑体"/>
        </w:rPr>
        <w:t xml:space="preserve">模块化课程体系 </w:t>
      </w:r>
      <w:r>
        <w:rPr>
          <w:rFonts w:hint="eastAsia" w:ascii="黑体" w:hAnsi="黑体" w:eastAsia="黑体"/>
          <w:lang w:val="en-US" w:eastAsia="zh-CN"/>
        </w:rPr>
        <w:t>m</w:t>
      </w:r>
      <w:r>
        <w:rPr>
          <w:rFonts w:hint="eastAsia" w:ascii="黑体" w:hAnsi="黑体" w:eastAsia="黑体"/>
        </w:rPr>
        <w:t xml:space="preserve">odular </w:t>
      </w:r>
      <w:r>
        <w:rPr>
          <w:rFonts w:hint="eastAsia" w:ascii="黑体" w:hAnsi="黑体" w:eastAsia="黑体"/>
          <w:lang w:val="en-US" w:eastAsia="zh-CN"/>
        </w:rPr>
        <w:t>c</w:t>
      </w:r>
      <w:r>
        <w:rPr>
          <w:rFonts w:hint="eastAsia" w:ascii="黑体" w:hAnsi="黑体" w:eastAsia="黑体"/>
        </w:rPr>
        <w:t xml:space="preserve">urriculum </w:t>
      </w:r>
      <w:r>
        <w:rPr>
          <w:rFonts w:hint="eastAsia" w:ascii="黑体" w:hAnsi="黑体" w:eastAsia="黑体"/>
          <w:lang w:val="en-US" w:eastAsia="zh-CN"/>
        </w:rPr>
        <w:t>s</w:t>
      </w:r>
      <w:r>
        <w:rPr>
          <w:rFonts w:hint="eastAsia" w:ascii="黑体" w:hAnsi="黑体" w:eastAsia="黑体"/>
        </w:rPr>
        <w:t>ystem</w:t>
      </w:r>
    </w:p>
    <w:p w14:paraId="6C2CF29F">
      <w:pPr>
        <w:pStyle w:val="56"/>
        <w:ind w:firstLine="420"/>
      </w:pPr>
      <w:r>
        <w:rPr>
          <w:rFonts w:hint="eastAsia"/>
        </w:rPr>
        <w:t>以国际中餐人才岗位需求为导向，将教学内容分解为中餐技艺、餐饮管理、中国文化、食品安全、当地法规、语言与沟通等相互独立又相互关联的模块，兼顾标准化与本土化、理论性与实践性的课程体系。</w:t>
      </w:r>
    </w:p>
    <w:p w14:paraId="1364B5CD">
      <w:pPr>
        <w:pStyle w:val="105"/>
        <w:spacing w:before="120" w:after="120"/>
      </w:pPr>
    </w:p>
    <w:p w14:paraId="199F2CA7">
      <w:pPr>
        <w:pStyle w:val="56"/>
        <w:ind w:firstLine="420"/>
        <w:rPr>
          <w:rFonts w:hint="eastAsia" w:ascii="黑体" w:hAnsi="黑体" w:eastAsia="黑体"/>
        </w:rPr>
      </w:pPr>
      <w:r>
        <w:rPr>
          <w:rFonts w:hint="eastAsia" w:ascii="黑体" w:hAnsi="黑体" w:eastAsia="黑体"/>
        </w:rPr>
        <w:t xml:space="preserve">质量评价 </w:t>
      </w:r>
      <w:r>
        <w:rPr>
          <w:rFonts w:hint="eastAsia" w:ascii="黑体" w:hAnsi="黑体" w:eastAsia="黑体"/>
          <w:lang w:val="en-US" w:eastAsia="zh-CN"/>
        </w:rPr>
        <w:t>q</w:t>
      </w:r>
      <w:r>
        <w:rPr>
          <w:rFonts w:hint="eastAsia" w:ascii="黑体" w:hAnsi="黑体" w:eastAsia="黑体"/>
        </w:rPr>
        <w:t xml:space="preserve">uality </w:t>
      </w:r>
      <w:r>
        <w:rPr>
          <w:rFonts w:hint="eastAsia" w:ascii="黑体" w:hAnsi="黑体" w:eastAsia="黑体"/>
          <w:lang w:val="en-US" w:eastAsia="zh-CN"/>
        </w:rPr>
        <w:t>e</w:t>
      </w:r>
      <w:r>
        <w:rPr>
          <w:rFonts w:hint="eastAsia" w:ascii="黑体" w:hAnsi="黑体" w:eastAsia="黑体"/>
        </w:rPr>
        <w:t>valuation</w:t>
      </w:r>
    </w:p>
    <w:p w14:paraId="0A80B878">
      <w:pPr>
        <w:pStyle w:val="56"/>
        <w:ind w:firstLine="420"/>
      </w:pPr>
      <w:r>
        <w:rPr>
          <w:rFonts w:hint="eastAsia"/>
        </w:rPr>
        <w:t>通过设定科学的评价指标，对国际中餐学院的办学条件、师资队伍、教学质量、人才培养成效、文化传播贡献等进行全面、</w:t>
      </w:r>
      <w:r>
        <w:rPr>
          <w:rFonts w:hint="eastAsia"/>
          <w:lang w:eastAsia="zh-CN"/>
        </w:rPr>
        <w:t>系统地</w:t>
      </w:r>
      <w:r>
        <w:rPr>
          <w:rFonts w:hint="eastAsia"/>
        </w:rPr>
        <w:t>评估，为学院持续改进提供依据。</w:t>
      </w:r>
    </w:p>
    <w:p w14:paraId="0731971C">
      <w:pPr>
        <w:pStyle w:val="104"/>
        <w:spacing w:before="240" w:after="240"/>
      </w:pPr>
      <w:r>
        <w:rPr>
          <w:rFonts w:hint="eastAsia"/>
        </w:rPr>
        <w:t>基本要求</w:t>
      </w:r>
    </w:p>
    <w:p w14:paraId="147EB38A">
      <w:pPr>
        <w:pStyle w:val="105"/>
        <w:spacing w:before="120" w:after="120"/>
      </w:pPr>
      <w:r>
        <w:rPr>
          <w:rFonts w:hint="eastAsia"/>
        </w:rPr>
        <w:t>建设主体</w:t>
      </w:r>
    </w:p>
    <w:p w14:paraId="5BBA689B">
      <w:pPr>
        <w:pStyle w:val="56"/>
        <w:ind w:firstLine="420"/>
      </w:pPr>
      <w:r>
        <w:rPr>
          <w:rFonts w:hint="eastAsia"/>
        </w:rPr>
        <w:t>国际中餐学院应由中方职业院校、普通高校作为核心建设主体，联合外方学校、培训机构或相关文化机构，同时吸收具备海外布局能力的中餐企业参与共建，确保办学资源互补、权责清晰。</w:t>
      </w:r>
    </w:p>
    <w:p w14:paraId="194BFA59">
      <w:pPr>
        <w:pStyle w:val="65"/>
        <w:spacing w:before="120" w:after="120"/>
      </w:pPr>
      <w:r>
        <w:rPr>
          <w:rFonts w:hint="eastAsia"/>
        </w:rPr>
        <w:t>基本条件</w:t>
      </w:r>
    </w:p>
    <w:p w14:paraId="12CFDB5C">
      <w:pPr>
        <w:pStyle w:val="56"/>
        <w:ind w:firstLine="420"/>
      </w:pPr>
      <w:r>
        <w:rPr>
          <w:rFonts w:hint="eastAsia"/>
        </w:rPr>
        <w:t>建设主体应具备以下基本条件，确保学院规范运行：</w:t>
      </w:r>
    </w:p>
    <w:p w14:paraId="4B1F26A6">
      <w:pPr>
        <w:pStyle w:val="132"/>
      </w:pPr>
      <w:r>
        <w:rPr>
          <w:rFonts w:hint="eastAsia"/>
        </w:rPr>
        <w:t>具有独立的法人资格，能够独立承担民事责任，具备开展教育教学、国际交流的合法资质；</w:t>
      </w:r>
    </w:p>
    <w:p w14:paraId="051A7A10">
      <w:pPr>
        <w:pStyle w:val="132"/>
      </w:pPr>
      <w:r>
        <w:rPr>
          <w:rFonts w:hint="eastAsia"/>
        </w:rPr>
        <w:t>中方主体应具备完善的烹饪类、餐饮管理类专业办学基础，拥有稳定的师资队伍、实训设施和教学资源；外方主体应具备当地教育或文化领域的合法办学资质，熟悉当地餐饮产业需求和政策环境；</w:t>
      </w:r>
    </w:p>
    <w:p w14:paraId="63C95D6D">
      <w:pPr>
        <w:pStyle w:val="132"/>
      </w:pPr>
      <w:r>
        <w:rPr>
          <w:rFonts w:hint="eastAsia"/>
        </w:rPr>
        <w:t>建设主体应拥有开展国际交流与合作的经验和渠道。近三年招收境外学生来华与选派学生赴境外接受餐饮类学历教育人数不少于10人，中餐技艺和中餐文化培训不少于100人次。能够协调中外资源，保障国际教学、文化交流活动顺利开展；</w:t>
      </w:r>
    </w:p>
    <w:p w14:paraId="3F11FF7B">
      <w:pPr>
        <w:pStyle w:val="132"/>
      </w:pPr>
      <w:r>
        <w:rPr>
          <w:rFonts w:hint="eastAsia"/>
        </w:rPr>
        <w:t>对不具备完整国际交流基础的中方院校或企业，鼓励通过与具备相关资质的院校、企业组建联盟等方式参与共建，明确联盟内各方权责与分工。</w:t>
      </w:r>
    </w:p>
    <w:p w14:paraId="3082E634">
      <w:pPr>
        <w:pStyle w:val="65"/>
        <w:spacing w:before="120" w:after="120"/>
      </w:pPr>
      <w:r>
        <w:rPr>
          <w:rFonts w:hint="eastAsia"/>
        </w:rPr>
        <w:t>办学场所</w:t>
      </w:r>
    </w:p>
    <w:p w14:paraId="28C62E89">
      <w:pPr>
        <w:pStyle w:val="164"/>
      </w:pPr>
      <w:r>
        <w:rPr>
          <w:rFonts w:hint="eastAsia"/>
        </w:rPr>
        <w:t>办学场地原则上设置在中外合作的学校或培训机构内，应符合国家（地区）关于教育机构、餐饮服务场所的安全、卫生、环保、消防等法律法规要求及相关标准要求。</w:t>
      </w:r>
    </w:p>
    <w:p w14:paraId="55F408D9">
      <w:pPr>
        <w:pStyle w:val="164"/>
      </w:pPr>
      <w:r>
        <w:rPr>
          <w:rFonts w:hint="eastAsia"/>
        </w:rPr>
        <w:t>中餐实训场所应符合GB 14934的规定，配备必要的安全防护、卫生消毒设施，确保实训过程安全规范。</w:t>
      </w:r>
    </w:p>
    <w:p w14:paraId="0E0446D3">
      <w:pPr>
        <w:pStyle w:val="65"/>
        <w:spacing w:before="120" w:after="120"/>
      </w:pPr>
      <w:r>
        <w:rPr>
          <w:rFonts w:hint="eastAsia"/>
        </w:rPr>
        <w:t>经费保障</w:t>
      </w:r>
    </w:p>
    <w:p w14:paraId="551DC5E6">
      <w:pPr>
        <w:pStyle w:val="164"/>
      </w:pPr>
      <w:r>
        <w:rPr>
          <w:rFonts w:hint="eastAsia"/>
        </w:rPr>
        <w:t>应建立稳定、多元化的经费来源渠道和可持续的运营模式。</w:t>
      </w:r>
    </w:p>
    <w:p w14:paraId="723DD9B3">
      <w:pPr>
        <w:pStyle w:val="164"/>
      </w:pPr>
      <w:r>
        <w:rPr>
          <w:rFonts w:hint="eastAsia"/>
        </w:rPr>
        <w:t>经费主要来源于政府专项拨款、校企合作投入、院校自筹、国际组织资助、培训服务收入等。</w:t>
      </w:r>
    </w:p>
    <w:p w14:paraId="49D59D5D">
      <w:pPr>
        <w:pStyle w:val="164"/>
      </w:pPr>
      <w:r>
        <w:rPr>
          <w:rFonts w:hint="eastAsia"/>
        </w:rPr>
        <w:t>经费管理应严格遵循相关财务制度，实行专款专用、规范透明，建立经费使用台账。</w:t>
      </w:r>
    </w:p>
    <w:p w14:paraId="2302E402">
      <w:pPr>
        <w:pStyle w:val="164"/>
      </w:pPr>
      <w:r>
        <w:rPr>
          <w:rFonts w:hint="eastAsia"/>
        </w:rPr>
        <w:t>接受各方监督，确保学院的正常运转与持续发展。</w:t>
      </w:r>
    </w:p>
    <w:p w14:paraId="40F1F7CB">
      <w:pPr>
        <w:pStyle w:val="65"/>
        <w:spacing w:before="120" w:after="120"/>
      </w:pPr>
      <w:r>
        <w:rPr>
          <w:rFonts w:hint="eastAsia"/>
        </w:rPr>
        <w:t>合作要求</w:t>
      </w:r>
    </w:p>
    <w:p w14:paraId="1DBC0323">
      <w:pPr>
        <w:pStyle w:val="164"/>
      </w:pPr>
      <w:r>
        <w:rPr>
          <w:rFonts w:hint="eastAsia"/>
        </w:rPr>
        <w:t>建设各方应签订具有法律效力的合作协议，明确各方权利义务、合作期限、投入分担、收益分配、争议解决机制及退出机制等核心内容。</w:t>
      </w:r>
    </w:p>
    <w:p w14:paraId="50D107C4">
      <w:pPr>
        <w:pStyle w:val="164"/>
      </w:pPr>
      <w:r>
        <w:rPr>
          <w:rFonts w:hint="eastAsia"/>
        </w:rPr>
        <w:t>合作协议应报相关主管部门备案。</w:t>
      </w:r>
    </w:p>
    <w:p w14:paraId="7E23D0ED">
      <w:pPr>
        <w:pStyle w:val="105"/>
        <w:spacing w:before="120" w:after="120"/>
      </w:pPr>
      <w:r>
        <w:rPr>
          <w:rFonts w:hint="eastAsia"/>
        </w:rPr>
        <w:t>组织架构</w:t>
      </w:r>
    </w:p>
    <w:p w14:paraId="3F13156D">
      <w:pPr>
        <w:pStyle w:val="56"/>
        <w:ind w:firstLine="420"/>
      </w:pPr>
      <w:r>
        <w:rPr>
          <w:rFonts w:hint="eastAsia"/>
        </w:rPr>
        <w:t>国际中餐学院应设立层次清晰、权责明确、运行高效的组织管理机构，完善配套管理制度，保障学院的规范运行与可持续发展。</w:t>
      </w:r>
    </w:p>
    <w:p w14:paraId="5A29BDDA">
      <w:pPr>
        <w:pStyle w:val="65"/>
        <w:spacing w:before="120" w:after="120"/>
      </w:pPr>
      <w:r>
        <w:rPr>
          <w:rFonts w:hint="eastAsia"/>
        </w:rPr>
        <w:t>决策机构</w:t>
      </w:r>
    </w:p>
    <w:p w14:paraId="0E654A6F">
      <w:pPr>
        <w:pStyle w:val="164"/>
      </w:pPr>
      <w:r>
        <w:rPr>
          <w:rFonts w:hint="eastAsia"/>
        </w:rPr>
        <w:t>应设立理事会或董事会，作为学院的最高决策机构。</w:t>
      </w:r>
    </w:p>
    <w:p w14:paraId="5EE54FED">
      <w:pPr>
        <w:pStyle w:val="164"/>
      </w:pPr>
      <w:r>
        <w:rPr>
          <w:rFonts w:hint="eastAsia"/>
        </w:rPr>
        <w:t>决策机构应由中外建设方代表、行业专家、企业代表共同组成，其中校企双主体代表占比不低于50%。</w:t>
      </w:r>
    </w:p>
    <w:p w14:paraId="1E381B81">
      <w:pPr>
        <w:pStyle w:val="164"/>
      </w:pPr>
      <w:r>
        <w:rPr>
          <w:rFonts w:hint="eastAsia"/>
        </w:rPr>
        <w:t>由中外合作方代表共同组成，校企双主体机制，主要负责学院发展规划、重大投资、合作机制调整、人事任免、章程修订等重大事项，每年至少召开1次全体会议，重大紧急事项可临时召开。</w:t>
      </w:r>
    </w:p>
    <w:p w14:paraId="6983E69F">
      <w:pPr>
        <w:pStyle w:val="65"/>
        <w:spacing w:before="120" w:after="120"/>
      </w:pPr>
      <w:r>
        <w:rPr>
          <w:rFonts w:hint="eastAsia"/>
        </w:rPr>
        <w:t>执行机构</w:t>
      </w:r>
    </w:p>
    <w:p w14:paraId="04335BE6">
      <w:pPr>
        <w:pStyle w:val="164"/>
      </w:pPr>
      <w:r>
        <w:rPr>
          <w:rFonts w:hint="eastAsia"/>
        </w:rPr>
        <w:t>应设立精干高效的管理执行团队作为执行机构，配备专职院长1名、教学管理、行政事务、财务管理</w:t>
      </w:r>
      <w:r>
        <w:rPr>
          <w:rFonts w:hint="eastAsia"/>
          <w:lang w:eastAsia="zh-CN"/>
        </w:rPr>
        <w:t>、对</w:t>
      </w:r>
      <w:r>
        <w:rPr>
          <w:rFonts w:hint="eastAsia"/>
        </w:rPr>
        <w:t>外联络等专职管理人员若干名。</w:t>
      </w:r>
    </w:p>
    <w:p w14:paraId="41593CE1">
      <w:pPr>
        <w:pStyle w:val="164"/>
      </w:pPr>
      <w:r>
        <w:rPr>
          <w:rFonts w:hint="eastAsia"/>
        </w:rPr>
        <w:t>院长应具备副高级及以上专业技术职称，拥有5年以上中餐教育或餐饮行业管理经验，具备国际化视野和较强的组织协调、跨文化沟通能力。</w:t>
      </w:r>
    </w:p>
    <w:p w14:paraId="178151AB">
      <w:pPr>
        <w:pStyle w:val="164"/>
      </w:pPr>
      <w:r>
        <w:rPr>
          <w:rFonts w:hint="eastAsia"/>
        </w:rPr>
        <w:t>管理执行团队负责学院日常运行管理，落实理事会（董事会）决策，定期向理事会（董事会）汇报工作。</w:t>
      </w:r>
    </w:p>
    <w:p w14:paraId="5726BD00">
      <w:pPr>
        <w:pStyle w:val="65"/>
        <w:spacing w:before="120" w:after="120"/>
      </w:pPr>
      <w:r>
        <w:rPr>
          <w:rFonts w:hint="eastAsia"/>
        </w:rPr>
        <w:t>指导机构</w:t>
      </w:r>
    </w:p>
    <w:p w14:paraId="042D8577">
      <w:pPr>
        <w:pStyle w:val="164"/>
      </w:pPr>
      <w:r>
        <w:rPr>
          <w:rFonts w:hint="eastAsia"/>
        </w:rPr>
        <w:t>依托海外中餐发展智库、行业协会，建立专业建设指导委员会作为指导机构。</w:t>
      </w:r>
    </w:p>
    <w:p w14:paraId="6165DF40">
      <w:pPr>
        <w:pStyle w:val="164"/>
      </w:pPr>
      <w:r>
        <w:rPr>
          <w:rFonts w:hint="eastAsia"/>
        </w:rPr>
        <w:t>专业建设指导委员会应由餐饮行业大师、餐饮企业高管、教育界专家、海外中餐从业者代表组成，其中行业企业专家占比不低于50%。</w:t>
      </w:r>
    </w:p>
    <w:p w14:paraId="1C327CDC">
      <w:pPr>
        <w:pStyle w:val="164"/>
      </w:pPr>
      <w:r>
        <w:rPr>
          <w:rFonts w:hint="eastAsia"/>
        </w:rPr>
        <w:t>专业建设指导委员会主要负责指导学院专业建设、课程开发、教学标准制定、实训方案设计、质量评估等工作，每年至少召开2次全体会议，为学院发展提供专业指导。</w:t>
      </w:r>
    </w:p>
    <w:p w14:paraId="57ECB8E5">
      <w:pPr>
        <w:pStyle w:val="105"/>
        <w:spacing w:before="120" w:after="120"/>
      </w:pPr>
      <w:r>
        <w:rPr>
          <w:rFonts w:hint="eastAsia"/>
        </w:rPr>
        <w:t>运行保障</w:t>
      </w:r>
    </w:p>
    <w:p w14:paraId="2F7E1324">
      <w:pPr>
        <w:pStyle w:val="56"/>
        <w:ind w:firstLine="420"/>
      </w:pPr>
      <w:r>
        <w:rPr>
          <w:rFonts w:hint="eastAsia"/>
        </w:rPr>
        <w:t>学院应制定理事会（董事会）章程、管理团队工作制度、专业建设指导委员会工作条例、财务管理制度、教学管理制度、安全管理制度等配套制度，建立定期报告与信息公开机制，每年向建设各方、行业组织及相关主管部门提交年度运行报告，主动接受监督。</w:t>
      </w:r>
    </w:p>
    <w:p w14:paraId="12B11FC7">
      <w:pPr>
        <w:pStyle w:val="105"/>
        <w:spacing w:before="120" w:after="120"/>
      </w:pPr>
      <w:r>
        <w:rPr>
          <w:rFonts w:hint="eastAsia"/>
        </w:rPr>
        <w:t>运行机制</w:t>
      </w:r>
    </w:p>
    <w:p w14:paraId="301CC4A6">
      <w:pPr>
        <w:pStyle w:val="165"/>
      </w:pPr>
      <w:r>
        <w:rPr>
          <w:rFonts w:hint="eastAsia"/>
        </w:rPr>
        <w:t>国际中餐学院应建立完善、高效的运行机制，保障各项工作规范有序开展，提升办学质量与效能。</w:t>
      </w:r>
    </w:p>
    <w:p w14:paraId="5AB0E65A">
      <w:pPr>
        <w:pStyle w:val="165"/>
      </w:pPr>
      <w:r>
        <w:rPr>
          <w:rFonts w:hint="eastAsia"/>
        </w:rPr>
        <w:t>应建立校企协同议事机制，定期召开校企联席会议，由院校、合作企业代表共同参与，研究人才培养方案、课程设置、实习实训安排、就业推荐、技术研发等事项，形成资源共享、优势互补、责任共担、成果共享的合作格局。</w:t>
      </w:r>
    </w:p>
    <w:p w14:paraId="4F81E090">
      <w:pPr>
        <w:pStyle w:val="165"/>
      </w:pPr>
      <w:r>
        <w:rPr>
          <w:rFonts w:hint="eastAsia"/>
        </w:rPr>
        <w:t>应建立多元化的经费投入与保障机制，明确各方经费投入比例、拨付时间及使用范围；建立经费使用绩效考核制度，提高经费使用效率；经费收支应实行单独核算，严禁截留、挪用、挤占办学经费，确保经费专款专用。</w:t>
      </w:r>
    </w:p>
    <w:p w14:paraId="4490D44C">
      <w:pPr>
        <w:pStyle w:val="165"/>
      </w:pPr>
      <w:r>
        <w:rPr>
          <w:rFonts w:hint="eastAsia"/>
        </w:rPr>
        <w:t>应建立科学合理的绩效考核与激励机制，明确考核指标、考核周期及考核方式，对学院运行效能、人才培养质量、国际合作成效等进行定期评估。对在学院建设、教学改革、国际交流、文化传播等方面作出突出贡献的单位和个人，应给予表彰和奖励，激发各方参与积极性。</w:t>
      </w:r>
    </w:p>
    <w:p w14:paraId="032D353D">
      <w:pPr>
        <w:pStyle w:val="105"/>
        <w:spacing w:before="120" w:after="120"/>
      </w:pPr>
      <w:r>
        <w:rPr>
          <w:rFonts w:hint="eastAsia"/>
        </w:rPr>
        <w:t>知识产权与文化传承保护</w:t>
      </w:r>
    </w:p>
    <w:p w14:paraId="78601F87">
      <w:pPr>
        <w:pStyle w:val="56"/>
        <w:ind w:firstLine="420"/>
      </w:pPr>
      <w:r>
        <w:rPr>
          <w:rFonts w:hint="eastAsia"/>
        </w:rPr>
        <w:t>应明确教学资源、菜谱配方、技艺流程、品牌标识、研发成果等知识产权归属，签订知识产权保护协议，防范知识产权纠纷；尊重并保护中餐非物质文化遗产，规范技艺传承与传播。</w:t>
      </w:r>
    </w:p>
    <w:p w14:paraId="1AA66AFE">
      <w:pPr>
        <w:pStyle w:val="104"/>
        <w:spacing w:before="240" w:after="240"/>
      </w:pPr>
      <w:r>
        <w:rPr>
          <w:rFonts w:hint="eastAsia"/>
        </w:rPr>
        <w:t>建设要求</w:t>
      </w:r>
    </w:p>
    <w:p w14:paraId="7D6360DF">
      <w:pPr>
        <w:pStyle w:val="105"/>
        <w:spacing w:before="120" w:after="120"/>
      </w:pPr>
      <w:r>
        <w:rPr>
          <w:rFonts w:hint="eastAsia"/>
        </w:rPr>
        <w:t>基础设施</w:t>
      </w:r>
    </w:p>
    <w:p w14:paraId="6888399B">
      <w:pPr>
        <w:pStyle w:val="165"/>
      </w:pPr>
      <w:r>
        <w:rPr>
          <w:rFonts w:hint="eastAsia"/>
        </w:rPr>
        <w:t>应建设符合国际标准、满足教学实训需求的示范性教学厨房和实训室，配备先进、齐全的中餐烹饪实训设备，设备数量应与学员规模相匹配，确保每位学员拥有充足的实训工位；实训设施应定期维护、更新，符合安全、卫生、环保要求，同时配备必要的实训耗材储存设施，保障实训教学正常开展。</w:t>
      </w:r>
    </w:p>
    <w:p w14:paraId="4D16CD0B">
      <w:pPr>
        <w:pStyle w:val="165"/>
      </w:pPr>
      <w:r>
        <w:rPr>
          <w:rFonts w:hint="eastAsia"/>
        </w:rPr>
        <w:t>应建设中餐文化体验与展示中心，用于中华饮食文化、中餐菜系、烹饪技艺、民俗礼仪等内容的展示，配备文化展品、多媒体展示设备等；同时设置技艺展演区，用于中餐大师技艺展演、学员技能展示等活动。</w:t>
      </w:r>
    </w:p>
    <w:p w14:paraId="7EC501C0">
      <w:pPr>
        <w:pStyle w:val="165"/>
      </w:pPr>
      <w:r>
        <w:rPr>
          <w:rFonts w:hint="eastAsia"/>
        </w:rPr>
        <w:t>应配备支持线上线下融合教学、国际远程交流的信息化设备与平台，包括国际直播课堂设施、智慧教学系统、在线学习平台、视频会议系统等，保障远程教学、国际学术交流、技艺传播的顺畅开展；同时建设数字化教学资源库，实现教学资源的在线共享，配备专职信息化管理人员，负责设施维护与技术支持。</w:t>
      </w:r>
    </w:p>
    <w:p w14:paraId="66E10C06">
      <w:pPr>
        <w:pStyle w:val="165"/>
      </w:pPr>
      <w:r>
        <w:rPr>
          <w:rFonts w:hint="eastAsia"/>
        </w:rPr>
        <w:t>应具备满足理论教学、学习研究需求的教室、图书馆（或电子阅览室），配备必要的书籍、期刊、电子资源等；同时根据海外师生学习生活需求，配备必要的生活配套设施，如休息区、餐饮区等，营造良好的学习生活环境。</w:t>
      </w:r>
    </w:p>
    <w:p w14:paraId="629723F6">
      <w:pPr>
        <w:pStyle w:val="105"/>
        <w:spacing w:before="120" w:after="120"/>
      </w:pPr>
      <w:r>
        <w:rPr>
          <w:rFonts w:hint="eastAsia"/>
        </w:rPr>
        <w:t>师资队伍</w:t>
      </w:r>
    </w:p>
    <w:p w14:paraId="5B4B6FC7">
      <w:pPr>
        <w:pStyle w:val="165"/>
      </w:pPr>
      <w:r>
        <w:rPr>
          <w:rFonts w:hint="eastAsia"/>
        </w:rPr>
        <w:t>应组建一支结构合理、素质优良、具备国际化教学能力的专兼职结合的“双师型”师资队伍，满足国际化人才培养与文化传播需求。</w:t>
      </w:r>
    </w:p>
    <w:p w14:paraId="780C1635">
      <w:pPr>
        <w:pStyle w:val="165"/>
      </w:pPr>
      <w:r>
        <w:rPr>
          <w:rFonts w:hint="eastAsia"/>
        </w:rPr>
        <w:t>应组建由国内派出教师、当地聘用教师及行业企业专家构成的“混编师资团队”，形成优势互补、多文化背景、中外结合的教学团队。</w:t>
      </w:r>
    </w:p>
    <w:p w14:paraId="02BCE532">
      <w:pPr>
        <w:pStyle w:val="165"/>
      </w:pPr>
      <w:r>
        <w:rPr>
          <w:rFonts w:hint="eastAsia"/>
        </w:rPr>
        <w:t>国内派出核心教师应具备“双师型”素质，教学经验丰富、技艺精湛，核心教学团队应具备跨文化沟通能力或双语教学能力。</w:t>
      </w:r>
    </w:p>
    <w:p w14:paraId="23B15F0C">
      <w:pPr>
        <w:pStyle w:val="165"/>
      </w:pPr>
      <w:r>
        <w:rPr>
          <w:rFonts w:hint="eastAsia"/>
        </w:rPr>
        <w:t>企业专家师资应来自国内外知名餐饮企业，具备扎实的实践能力和管理经验，担任实践教学指导或技术顾问，定期开展实践教学、专题讲座等活动，提升学员实践能力。</w:t>
      </w:r>
    </w:p>
    <w:p w14:paraId="66980575">
      <w:pPr>
        <w:pStyle w:val="165"/>
      </w:pPr>
      <w:r>
        <w:rPr>
          <w:rFonts w:hint="eastAsia"/>
        </w:rPr>
        <w:t>应聘请海外中餐名厨、行业大师、教育专家担任客座教授或技术导师，结合当地餐饮市场需求，开展教学指导、技艺交流等活动，拓宽学生国际视野，推动中餐与当地饮食文化的融合。</w:t>
      </w:r>
    </w:p>
    <w:p w14:paraId="71164FE3">
      <w:pPr>
        <w:pStyle w:val="165"/>
      </w:pPr>
      <w:r>
        <w:rPr>
          <w:rFonts w:hint="eastAsia"/>
        </w:rPr>
        <w:t>应建立师资定期培训与交流机制，通过国内外研修、企业实践、国际交流等方式，持续提升团队的国际化素养与教学水平。同时建立师资考核评价制度，将教学质量、实践能力、国际交流成效等纳入考核，激励师资队伍提升素质。</w:t>
      </w:r>
    </w:p>
    <w:p w14:paraId="0003B75F">
      <w:pPr>
        <w:pStyle w:val="105"/>
        <w:spacing w:before="120" w:after="120"/>
      </w:pPr>
      <w:r>
        <w:rPr>
          <w:rFonts w:hint="eastAsia"/>
        </w:rPr>
        <w:t>教育资源</w:t>
      </w:r>
    </w:p>
    <w:p w14:paraId="299E6D63">
      <w:pPr>
        <w:pStyle w:val="165"/>
      </w:pPr>
      <w:r>
        <w:rPr>
          <w:rFonts w:hint="eastAsia"/>
        </w:rPr>
        <w:t>应系统开发并持续更新符合国际标准、兼顾标准化与本土化的教育教学资源，满足国际化教学与培训需求。</w:t>
      </w:r>
    </w:p>
    <w:p w14:paraId="3DD73972">
      <w:pPr>
        <w:pStyle w:val="165"/>
      </w:pPr>
      <w:r>
        <w:rPr>
          <w:rFonts w:hint="eastAsia"/>
        </w:rPr>
        <w:t>应牵头或参与开发中餐国际培训教学标准、技能考核标准，确保教学与考核的规范性；配套开发双语（中文+当地语言）活页式教材、工作手册、数字教材等，教材内容应突出实践能力培养，融入中餐技艺、文化传承、国际规则、当地法规等内容，符合海外学员的学习需求。</w:t>
      </w:r>
    </w:p>
    <w:p w14:paraId="04C3A0D9">
      <w:pPr>
        <w:pStyle w:val="165"/>
      </w:pPr>
      <w:r>
        <w:rPr>
          <w:rFonts w:hint="eastAsia"/>
        </w:rPr>
        <w:t>应开发或引进标准化的中、外文教材、教学课件、在线课程、技能演示视频等教学资源，建设并共享涵盖中式烹饪、中式面点、茶艺等方向的数字化专业教学资源库。资源库应定期更新，确保内容的时效性与实用性，支持学员线上自主学习。</w:t>
      </w:r>
    </w:p>
    <w:p w14:paraId="5FFE5921">
      <w:pPr>
        <w:pStyle w:val="165"/>
      </w:pPr>
      <w:r>
        <w:rPr>
          <w:rFonts w:hint="eastAsia"/>
        </w:rPr>
        <w:t>应构建模块化、项目化的国际中餐人才培养培训课程体系，突出实践能力培养，融入跨文化理解内容，具体包含中餐技艺、餐饮管理、中国文化、语言与沟通等核心模块（详见附录A）。鼓励结合所在国家（地区）的食材特色、饮食文化，开发本土化特色课程，既体现中餐标准化要求，也保留地域多样性，增强中餐国际化的吸引力。</w:t>
      </w:r>
    </w:p>
    <w:p w14:paraId="3BAE3EF3">
      <w:pPr>
        <w:pStyle w:val="105"/>
        <w:spacing w:before="120" w:after="120"/>
      </w:pPr>
      <w:r>
        <w:rPr>
          <w:rFonts w:hint="eastAsia"/>
        </w:rPr>
        <w:t>合作平台与资源整合</w:t>
      </w:r>
    </w:p>
    <w:p w14:paraId="26B1C2B3">
      <w:pPr>
        <w:pStyle w:val="165"/>
      </w:pPr>
      <w:r>
        <w:rPr>
          <w:rFonts w:hint="eastAsia"/>
        </w:rPr>
        <w:t>国际中餐学院应积极整合各方资源，搭建多元化合作平台，提升办学影响力与可持续发展能力。</w:t>
      </w:r>
    </w:p>
    <w:p w14:paraId="0C871F61">
      <w:pPr>
        <w:pStyle w:val="165"/>
      </w:pPr>
      <w:r>
        <w:rPr>
          <w:rFonts w:hint="eastAsia"/>
        </w:rPr>
        <w:t>应积极融入并充分利用“鲁班工坊”“中餐繁荣基地”“文化交流基地”等平台的资源与品牌优势，借力发展国际交流、人才培养、文化传播等活动，提升学院影响力。</w:t>
      </w:r>
    </w:p>
    <w:p w14:paraId="36CB7141">
      <w:pPr>
        <w:pStyle w:val="165"/>
      </w:pPr>
      <w:r>
        <w:rPr>
          <w:rFonts w:hint="eastAsia"/>
        </w:rPr>
        <w:t>应与至少1家国内外知名餐饮企业建立深度合作关系，共建实践教学基地，共同开发课程、共享师资、共育人才；合作企业应参与人才培养全过程，提供实践岗位、技术支持、实习指导等，实现校企协同育人。</w:t>
      </w:r>
    </w:p>
    <w:p w14:paraId="35C49A1D">
      <w:pPr>
        <w:pStyle w:val="165"/>
      </w:pPr>
      <w:r>
        <w:rPr>
          <w:rFonts w:hint="eastAsia"/>
        </w:rPr>
        <w:t>应建立资源整合与共享机制，推动合作单位间的设施设备、教学资源、师资力量、技术成果等优势资源互通共享，提高资源利用效率。同时加强与国内外同类院校、行业组织的交流合作，开展联合办学、师资交流、技能竞赛等活动，提升办学水平。</w:t>
      </w:r>
    </w:p>
    <w:p w14:paraId="525919A9">
      <w:pPr>
        <w:pStyle w:val="104"/>
        <w:spacing w:before="240" w:after="240"/>
      </w:pPr>
      <w:r>
        <w:rPr>
          <w:rFonts w:hint="eastAsia"/>
        </w:rPr>
        <w:t>运行与管理要求</w:t>
      </w:r>
    </w:p>
    <w:p w14:paraId="3F3A3B0A">
      <w:pPr>
        <w:pStyle w:val="105"/>
        <w:spacing w:before="120" w:after="120"/>
      </w:pPr>
      <w:r>
        <w:rPr>
          <w:rFonts w:hint="eastAsia"/>
        </w:rPr>
        <w:t>人才培养</w:t>
      </w:r>
    </w:p>
    <w:p w14:paraId="37F7D5E3">
      <w:pPr>
        <w:pStyle w:val="165"/>
      </w:pPr>
      <w:r>
        <w:rPr>
          <w:rFonts w:hint="eastAsia"/>
        </w:rPr>
        <w:t>国际中餐学院应实施多元化、国际化的人才培养模式。</w:t>
      </w:r>
    </w:p>
    <w:p w14:paraId="39D5247B">
      <w:pPr>
        <w:pStyle w:val="165"/>
      </w:pPr>
      <w:r>
        <w:rPr>
          <w:rFonts w:hint="eastAsia"/>
        </w:rPr>
        <w:t>构建多层次、多类型的人才培养体系，满足不同群体的学习需求，提升人才培养质量。</w:t>
      </w:r>
    </w:p>
    <w:p w14:paraId="40E5534F">
      <w:pPr>
        <w:pStyle w:val="65"/>
        <w:spacing w:before="120" w:after="120"/>
      </w:pPr>
      <w:r>
        <w:rPr>
          <w:rFonts w:hint="eastAsia"/>
        </w:rPr>
        <w:t>人才培养体系</w:t>
      </w:r>
    </w:p>
    <w:p w14:paraId="38B9C242">
      <w:pPr>
        <w:pStyle w:val="164"/>
      </w:pPr>
      <w:r>
        <w:rPr>
          <w:rFonts w:hint="eastAsia"/>
        </w:rPr>
        <w:t>应建立涵盖学历教育、职业技能培训、短期研修、文化体验等多层次、多类型的人才培养体系，满足不同学员的学习需求。</w:t>
      </w:r>
    </w:p>
    <w:p w14:paraId="495E3F88">
      <w:pPr>
        <w:pStyle w:val="164"/>
      </w:pPr>
      <w:r>
        <w:rPr>
          <w:rFonts w:hint="eastAsia"/>
        </w:rPr>
        <w:t>人才培养体系应包含学历教育、职业技能培训、短期研修和文化培养等方面：</w:t>
      </w:r>
    </w:p>
    <w:p w14:paraId="3FB83147">
      <w:pPr>
        <w:pStyle w:val="132"/>
      </w:pPr>
      <w:r>
        <w:rPr>
          <w:rFonts w:hint="eastAsia"/>
        </w:rPr>
        <w:t>学历教育：与当地职业院校、普通高校联合开展专科、本科层次学历教育，培养国际化的餐饮高技能人才；</w:t>
      </w:r>
    </w:p>
    <w:p w14:paraId="184747B6">
      <w:pPr>
        <w:pStyle w:val="132"/>
      </w:pPr>
      <w:r>
        <w:rPr>
          <w:rFonts w:hint="eastAsia"/>
        </w:rPr>
        <w:t>职业技能培训：面向海外中餐企业员工、待业人员等，开展中餐烹饪、餐饮服务、餐饮管理等职业技能培训，颁发相应的职业技能等级证书；</w:t>
      </w:r>
    </w:p>
    <w:p w14:paraId="0196DF92">
      <w:pPr>
        <w:pStyle w:val="132"/>
      </w:pPr>
      <w:r>
        <w:rPr>
          <w:rFonts w:hint="eastAsia"/>
        </w:rPr>
        <w:t>短期研修：面向海外教育机构师生、餐饮从业者、文化爱好者等，开展1-3个月的中餐技艺、文化研修活动；</w:t>
      </w:r>
    </w:p>
    <w:p w14:paraId="140B9E56">
      <w:pPr>
        <w:pStyle w:val="132"/>
      </w:pPr>
      <w:r>
        <w:rPr>
          <w:rFonts w:hint="eastAsia"/>
        </w:rPr>
        <w:t>文化体验：面向社会公众，开展中餐文化体验活动，传播中华饮食文化。</w:t>
      </w:r>
    </w:p>
    <w:p w14:paraId="1CC608DC">
      <w:pPr>
        <w:pStyle w:val="65"/>
        <w:spacing w:before="120" w:after="120"/>
      </w:pPr>
      <w:r>
        <w:rPr>
          <w:rFonts w:hint="eastAsia"/>
        </w:rPr>
        <w:t>人才培养模式</w:t>
      </w:r>
    </w:p>
    <w:p w14:paraId="744EA710">
      <w:pPr>
        <w:pStyle w:val="164"/>
      </w:pPr>
      <w:r>
        <w:rPr>
          <w:rFonts w:hint="eastAsia"/>
        </w:rPr>
        <w:t>应推行“中文+职业技能”培养模式，将语言学习与专业技能培养相结合，开设餐饮专业汉语课程，提升学员的中文沟通能力与专业技能水平。</w:t>
      </w:r>
    </w:p>
    <w:p w14:paraId="086C0FC8">
      <w:pPr>
        <w:pStyle w:val="164"/>
      </w:pPr>
      <w:r>
        <w:rPr>
          <w:rFonts w:hint="eastAsia"/>
        </w:rPr>
        <w:t>采用“校企共育、岗课赛证融合”的培养模式，强化实践技能培养，提升学员的职业适应能力。</w:t>
      </w:r>
    </w:p>
    <w:p w14:paraId="34A62A5F">
      <w:pPr>
        <w:pStyle w:val="65"/>
        <w:spacing w:before="120" w:after="120"/>
      </w:pPr>
      <w:r>
        <w:rPr>
          <w:rFonts w:hint="eastAsia"/>
        </w:rPr>
        <w:t>人才培养内容</w:t>
      </w:r>
    </w:p>
    <w:p w14:paraId="65B4599F">
      <w:pPr>
        <w:pStyle w:val="56"/>
        <w:ind w:firstLine="420"/>
      </w:pPr>
      <w:r>
        <w:rPr>
          <w:rFonts w:hint="eastAsia"/>
        </w:rPr>
        <w:t>应制定并实施国际中餐人才培养方案，明确培养目标、培养规格、课程设置、教学安排、考核方式等内容，重点开展以下工作：</w:t>
      </w:r>
    </w:p>
    <w:p w14:paraId="52DF242B">
      <w:pPr>
        <w:pStyle w:val="132"/>
      </w:pPr>
      <w:r>
        <w:rPr>
          <w:rFonts w:hint="eastAsia"/>
        </w:rPr>
        <w:t>开展海外餐饮类留学生学历教育或长短期培训，提升海外学员的中餐技艺与文化素养；</w:t>
      </w:r>
    </w:p>
    <w:p w14:paraId="557B65AE">
      <w:pPr>
        <w:pStyle w:val="132"/>
      </w:pPr>
      <w:r>
        <w:rPr>
          <w:rFonts w:hint="eastAsia"/>
        </w:rPr>
        <w:t>组织国内学生作为国际交流生赴海外学习与实践，拓宽学生国际视野，提升跨文化沟通能力；</w:t>
      </w:r>
    </w:p>
    <w:p w14:paraId="79F898CD">
      <w:pPr>
        <w:pStyle w:val="132"/>
      </w:pPr>
      <w:r>
        <w:rPr>
          <w:rFonts w:hint="eastAsia"/>
        </w:rPr>
        <w:t>面向海内外开展中餐技艺与文化线上线下培训，扩大人才培养覆盖面；</w:t>
      </w:r>
    </w:p>
    <w:p w14:paraId="510AF372">
      <w:pPr>
        <w:pStyle w:val="132"/>
      </w:pPr>
      <w:r>
        <w:rPr>
          <w:rFonts w:hint="eastAsia"/>
        </w:rPr>
        <w:t>组织学员参与中餐技能竞赛、文化展演等活动，以赛促学、以赛促练，提升学员技能水平。</w:t>
      </w:r>
    </w:p>
    <w:p w14:paraId="2C2A49BC">
      <w:pPr>
        <w:pStyle w:val="56"/>
        <w:ind w:firstLine="420"/>
      </w:pPr>
    </w:p>
    <w:p w14:paraId="6D5B8BA8">
      <w:pPr>
        <w:pStyle w:val="105"/>
        <w:spacing w:before="120" w:after="120"/>
      </w:pPr>
      <w:r>
        <w:rPr>
          <w:rFonts w:hint="eastAsia"/>
        </w:rPr>
        <w:t>学分互认</w:t>
      </w:r>
    </w:p>
    <w:p w14:paraId="6C09AE7B">
      <w:pPr>
        <w:pStyle w:val="165"/>
      </w:pPr>
      <w:r>
        <w:rPr>
          <w:rFonts w:hint="eastAsia"/>
        </w:rPr>
        <w:t>应与海外合作院校、行业组织建立学分互认机制，推动学员学历与资格的国际化认可。</w:t>
      </w:r>
    </w:p>
    <w:p w14:paraId="4A7787AA">
      <w:pPr>
        <w:pStyle w:val="165"/>
      </w:pPr>
      <w:r>
        <w:rPr>
          <w:rFonts w:hint="eastAsia"/>
        </w:rPr>
        <w:t>应建立证书互认体系，推动技能等级证书、培训证书在海外合作机构间的认可与应用，提升证书的国际通用性。</w:t>
      </w:r>
    </w:p>
    <w:p w14:paraId="669C5CA6">
      <w:pPr>
        <w:pStyle w:val="105"/>
        <w:spacing w:before="120" w:after="120"/>
      </w:pPr>
      <w:r>
        <w:rPr>
          <w:rFonts w:hint="eastAsia"/>
        </w:rPr>
        <w:t>课程与教育</w:t>
      </w:r>
    </w:p>
    <w:p w14:paraId="179B289E">
      <w:pPr>
        <w:pStyle w:val="65"/>
        <w:spacing w:before="120" w:after="120"/>
      </w:pPr>
      <w:r>
        <w:rPr>
          <w:rFonts w:hint="eastAsia"/>
        </w:rPr>
        <w:t>课程设置</w:t>
      </w:r>
    </w:p>
    <w:p w14:paraId="367206D9">
      <w:pPr>
        <w:pStyle w:val="56"/>
        <w:ind w:firstLine="420"/>
      </w:pPr>
      <w:r>
        <w:rPr>
          <w:rFonts w:hint="eastAsia"/>
        </w:rPr>
        <w:t>课程设置应体现中餐技艺传承与创新，并融入跨文化理解内容。课程体系应包含以下模块：</w:t>
      </w:r>
    </w:p>
    <w:p w14:paraId="4F7D7751">
      <w:pPr>
        <w:pStyle w:val="132"/>
      </w:pPr>
      <w:r>
        <w:rPr>
          <w:rFonts w:hint="eastAsia"/>
        </w:rPr>
        <w:t>中餐技艺模块：占总课时的60%，重点传授四大菜系经典菜品、地方风味菜品、融合创意菜制作及宴会设计等内容；</w:t>
      </w:r>
    </w:p>
    <w:p w14:paraId="1B573904">
      <w:pPr>
        <w:pStyle w:val="132"/>
      </w:pPr>
      <w:r>
        <w:rPr>
          <w:rFonts w:hint="eastAsia"/>
        </w:rPr>
        <w:t>餐饮管理模块：占总课时的25%，涵盖餐饮运营、成本控制、菜单设计、食品安全与卫生、所在国家（地区）的餐饮行业法规、税收政策、劳动用工规范等内容；</w:t>
      </w:r>
    </w:p>
    <w:p w14:paraId="7C331914">
      <w:pPr>
        <w:pStyle w:val="132"/>
      </w:pPr>
      <w:r>
        <w:rPr>
          <w:rFonts w:hint="eastAsia"/>
        </w:rPr>
        <w:t>中国文化模块：占总课时的10%，包括中国饮食文化概论、茶艺、民俗礼仪等内容；</w:t>
      </w:r>
    </w:p>
    <w:p w14:paraId="4F56112C">
      <w:pPr>
        <w:pStyle w:val="132"/>
      </w:pPr>
      <w:r>
        <w:rPr>
          <w:rFonts w:hint="eastAsia"/>
        </w:rPr>
        <w:t>语言与沟通模块：占总课时的5%，讲解餐饮专业汉语、跨文化交际等。</w:t>
      </w:r>
    </w:p>
    <w:p w14:paraId="33DD9708">
      <w:pPr>
        <w:pStyle w:val="165"/>
      </w:pPr>
      <w:r>
        <w:rPr>
          <w:rFonts w:hint="eastAsia"/>
        </w:rPr>
        <w:t>教学内容</w:t>
      </w:r>
    </w:p>
    <w:p w14:paraId="56F7E3C6">
      <w:pPr>
        <w:pStyle w:val="164"/>
      </w:pPr>
      <w:r>
        <w:rPr>
          <w:rFonts w:hint="eastAsia"/>
        </w:rPr>
        <w:t>教学内容应体现标准化与本土化的结合，既系统传授经典中餐菜系的技艺精髓、标准化制作流程，也鼓励基于当地食材、饮食习俗进行菜品创新。</w:t>
      </w:r>
    </w:p>
    <w:p w14:paraId="7EEA02E9">
      <w:pPr>
        <w:pStyle w:val="164"/>
      </w:pPr>
      <w:r>
        <w:rPr>
          <w:rFonts w:hint="eastAsia"/>
        </w:rPr>
        <w:t>融入跨文化交际、国际餐饮礼仪等内容，提升学员的国际化素养。</w:t>
      </w:r>
    </w:p>
    <w:p w14:paraId="727E98A1">
      <w:pPr>
        <w:pStyle w:val="65"/>
        <w:spacing w:before="120" w:after="120"/>
      </w:pPr>
      <w:r>
        <w:rPr>
          <w:rFonts w:hint="eastAsia"/>
        </w:rPr>
        <w:t>教学方法</w:t>
      </w:r>
    </w:p>
    <w:p w14:paraId="7DB25F95">
      <w:pPr>
        <w:pStyle w:val="164"/>
      </w:pPr>
      <w:r>
        <w:rPr>
          <w:rFonts w:hint="eastAsia"/>
        </w:rPr>
        <w:t>应采用项目式、情境式、案例式等教学方法，强化实践技能培养；将企业真实运营项目、菜品研发任务引入教学，实现教学与生产实践的深度融合。</w:t>
      </w:r>
    </w:p>
    <w:p w14:paraId="3F09C426">
      <w:pPr>
        <w:pStyle w:val="164"/>
      </w:pPr>
      <w:r>
        <w:rPr>
          <w:rFonts w:hint="eastAsia"/>
        </w:rPr>
        <w:t>应利用信息化教学手段，开展线上线下混合式教学，提升教学效率与效果。</w:t>
      </w:r>
    </w:p>
    <w:p w14:paraId="74B6CABB">
      <w:pPr>
        <w:pStyle w:val="65"/>
        <w:spacing w:before="120" w:after="120"/>
      </w:pPr>
      <w:r>
        <w:rPr>
          <w:rFonts w:hint="eastAsia"/>
        </w:rPr>
        <w:t>教学资源</w:t>
      </w:r>
    </w:p>
    <w:p w14:paraId="238C5B7A">
      <w:pPr>
        <w:pStyle w:val="164"/>
      </w:pPr>
      <w:r>
        <w:rPr>
          <w:rFonts w:hint="eastAsia"/>
        </w:rPr>
        <w:t>应持续更新和开发数字化、多语种教学资源，完善数字化教学资源库，确保教学资源的时效性与实用性。</w:t>
      </w:r>
    </w:p>
    <w:p w14:paraId="5A9E0E64">
      <w:pPr>
        <w:pStyle w:val="164"/>
      </w:pPr>
      <w:r>
        <w:rPr>
          <w:rFonts w:hint="eastAsia"/>
        </w:rPr>
        <w:t>配备充足的教材、课件、实训耗材等，满足教学与实训需求；建立教学资源共享机制，实现资源的高效利用。</w:t>
      </w:r>
    </w:p>
    <w:p w14:paraId="7C9AFF92">
      <w:pPr>
        <w:pStyle w:val="105"/>
        <w:spacing w:before="120" w:after="120"/>
      </w:pPr>
      <w:r>
        <w:rPr>
          <w:rFonts w:hint="eastAsia"/>
        </w:rPr>
        <w:t>文化传播与交流</w:t>
      </w:r>
    </w:p>
    <w:p w14:paraId="614B7DCC">
      <w:pPr>
        <w:pStyle w:val="65"/>
        <w:spacing w:before="120" w:after="120"/>
      </w:pPr>
      <w:r>
        <w:rPr>
          <w:rFonts w:hint="eastAsia"/>
        </w:rPr>
        <w:t>双向交流</w:t>
      </w:r>
    </w:p>
    <w:p w14:paraId="2825DB65">
      <w:pPr>
        <w:pStyle w:val="164"/>
      </w:pPr>
      <w:r>
        <w:rPr>
          <w:rFonts w:hint="eastAsia"/>
        </w:rPr>
        <w:t>积极推进双向互动文化交流机制建设。</w:t>
      </w:r>
    </w:p>
    <w:p w14:paraId="4F5E74D4">
      <w:pPr>
        <w:pStyle w:val="164"/>
      </w:pPr>
      <w:r>
        <w:rPr>
          <w:rFonts w:hint="eastAsia"/>
        </w:rPr>
        <w:t>通过“走出去”和“请进来”计划，开展海外中餐文化巡展、中餐技艺展演、中餐文化讲座、海外餐饮人才研修班、产业考察等形式，双向互动开展中餐文化交流活动。</w:t>
      </w:r>
    </w:p>
    <w:p w14:paraId="75B4B943">
      <w:pPr>
        <w:pStyle w:val="65"/>
        <w:spacing w:before="120" w:after="120"/>
      </w:pPr>
      <w:r>
        <w:rPr>
          <w:rFonts w:hint="eastAsia"/>
        </w:rPr>
        <w:t>平台建设</w:t>
      </w:r>
    </w:p>
    <w:p w14:paraId="31342DC9">
      <w:pPr>
        <w:pStyle w:val="164"/>
      </w:pPr>
      <w:r>
        <w:rPr>
          <w:rFonts w:hint="eastAsia"/>
        </w:rPr>
        <w:t>应推进国际中餐文化与烹饪人才交流平台建设。</w:t>
      </w:r>
    </w:p>
    <w:p w14:paraId="39CD47F8">
      <w:pPr>
        <w:pStyle w:val="164"/>
      </w:pPr>
      <w:r>
        <w:rPr>
          <w:rFonts w:hint="eastAsia"/>
        </w:rPr>
        <w:t>应通过“国际中餐学院”文化体验中心“中餐文化国际直播间”等形式，鼓励国内外餐饮企业与餐饮名校联手创立主题明确、特色鲜明的交流创新平台，实现中餐全球传播品牌建设的持续创新。</w:t>
      </w:r>
    </w:p>
    <w:p w14:paraId="134EC7AB">
      <w:pPr>
        <w:pStyle w:val="65"/>
        <w:spacing w:before="120" w:after="120"/>
      </w:pPr>
      <w:r>
        <w:rPr>
          <w:rFonts w:hint="eastAsia"/>
        </w:rPr>
        <w:t>社会传播</w:t>
      </w:r>
    </w:p>
    <w:p w14:paraId="504EA50A">
      <w:pPr>
        <w:pStyle w:val="164"/>
      </w:pPr>
      <w:r>
        <w:rPr>
          <w:rFonts w:hint="eastAsia"/>
        </w:rPr>
        <w:t>校企联合打造中餐文化品牌IP。</w:t>
      </w:r>
    </w:p>
    <w:p w14:paraId="741E5A21">
      <w:pPr>
        <w:pStyle w:val="164"/>
      </w:pPr>
      <w:r>
        <w:rPr>
          <w:rFonts w:hint="eastAsia"/>
        </w:rPr>
        <w:t>定期举办中餐文化节、大师公开课、美食体验等活动，面向社会公众传播中餐文化。</w:t>
      </w:r>
    </w:p>
    <w:p w14:paraId="4B749A99">
      <w:pPr>
        <w:pStyle w:val="65"/>
        <w:spacing w:before="120" w:after="120"/>
      </w:pPr>
      <w:r>
        <w:rPr>
          <w:rFonts w:hint="eastAsia"/>
        </w:rPr>
        <w:t>文化传承</w:t>
      </w:r>
    </w:p>
    <w:p w14:paraId="535BCE1A">
      <w:pPr>
        <w:pStyle w:val="164"/>
      </w:pPr>
      <w:r>
        <w:rPr>
          <w:rFonts w:hint="eastAsia"/>
        </w:rPr>
        <w:t>该学院应成为当地华侨华人传承中华文化、开展联谊活动的重要场所，发挥文化纽带作用，每年</w:t>
      </w:r>
      <w:r>
        <w:rPr>
          <w:rFonts w:hint="eastAsia"/>
          <w:lang w:eastAsia="zh-CN"/>
        </w:rPr>
        <w:t>举办面向</w:t>
      </w:r>
      <w:r>
        <w:rPr>
          <w:rFonts w:hint="eastAsia"/>
        </w:rPr>
        <w:t>华侨华人的传统节日庆典或文化体验活动。</w:t>
      </w:r>
    </w:p>
    <w:p w14:paraId="03FE9237">
      <w:pPr>
        <w:pStyle w:val="164"/>
      </w:pPr>
      <w:r>
        <w:rPr>
          <w:rFonts w:hint="eastAsia"/>
        </w:rPr>
        <w:t>建立中餐非物质文化遗产技艺传承档案，记录经典菜谱、技法流程及传承人信息。</w:t>
      </w:r>
    </w:p>
    <w:p w14:paraId="583C087E">
      <w:pPr>
        <w:pStyle w:val="105"/>
        <w:spacing w:before="120" w:after="120"/>
      </w:pPr>
      <w:r>
        <w:rPr>
          <w:rFonts w:hint="eastAsia"/>
        </w:rPr>
        <w:t>实践教学与产教融合</w:t>
      </w:r>
    </w:p>
    <w:p w14:paraId="121EB2AD">
      <w:pPr>
        <w:pStyle w:val="65"/>
        <w:spacing w:before="120" w:after="120"/>
      </w:pPr>
      <w:r>
        <w:rPr>
          <w:rFonts w:hint="eastAsia"/>
        </w:rPr>
        <w:t>实践课时</w:t>
      </w:r>
    </w:p>
    <w:p w14:paraId="3EB955B7">
      <w:pPr>
        <w:pStyle w:val="56"/>
        <w:ind w:firstLine="420"/>
      </w:pPr>
      <w:r>
        <w:rPr>
          <w:rFonts w:hint="eastAsia"/>
        </w:rPr>
        <w:t>实践教学课时应占总课时的50%以上，强化学生动手能力培养。</w:t>
      </w:r>
    </w:p>
    <w:p w14:paraId="671A102A">
      <w:pPr>
        <w:pStyle w:val="65"/>
        <w:spacing w:before="120" w:after="120"/>
      </w:pPr>
      <w:r>
        <w:rPr>
          <w:rFonts w:hint="eastAsia"/>
        </w:rPr>
        <w:t>校企融合</w:t>
      </w:r>
    </w:p>
    <w:p w14:paraId="6DEB0E6C">
      <w:pPr>
        <w:pStyle w:val="164"/>
      </w:pPr>
      <w:r>
        <w:rPr>
          <w:rFonts w:hint="eastAsia"/>
        </w:rPr>
        <w:t>应建立“校中店”“店中校”或 “企业订单班”“学徒制班”等模式，将企业真实运营项目引入教学，实现教学与生产的深度融合。</w:t>
      </w:r>
    </w:p>
    <w:p w14:paraId="6D95260A">
      <w:pPr>
        <w:pStyle w:val="164"/>
      </w:pPr>
      <w:r>
        <w:rPr>
          <w:rFonts w:hint="eastAsia"/>
        </w:rPr>
        <w:t>鼓励企业将部分产品研发、技术攻关、标准化菜品制作等任务交由学院师生参与，并给予相应报酬或成果分享。企业指派技术骨干驻学院参与实践教学指导。</w:t>
      </w:r>
    </w:p>
    <w:p w14:paraId="0DE1418D">
      <w:pPr>
        <w:pStyle w:val="65"/>
        <w:spacing w:before="120" w:after="120"/>
      </w:pPr>
      <w:r>
        <w:rPr>
          <w:rFonts w:hint="eastAsia"/>
        </w:rPr>
        <w:t>顶岗实习</w:t>
      </w:r>
    </w:p>
    <w:p w14:paraId="159C71B4">
      <w:pPr>
        <w:pStyle w:val="164"/>
      </w:pPr>
      <w:r>
        <w:rPr>
          <w:rFonts w:hint="eastAsia"/>
        </w:rPr>
        <w:t>应定期组织学生到合作企业进行顶岗实习或实践，提升学生职业适应能力。</w:t>
      </w:r>
    </w:p>
    <w:p w14:paraId="2DC2B1B3">
      <w:pPr>
        <w:pStyle w:val="164"/>
      </w:pPr>
      <w:r>
        <w:rPr>
          <w:rFonts w:hint="eastAsia"/>
        </w:rPr>
        <w:t>合作企业享有考核权和优先录用权。</w:t>
      </w:r>
    </w:p>
    <w:p w14:paraId="2127F96B">
      <w:pPr>
        <w:pStyle w:val="105"/>
        <w:spacing w:before="120" w:after="120"/>
      </w:pPr>
      <w:r>
        <w:rPr>
          <w:rFonts w:hint="eastAsia"/>
        </w:rPr>
        <w:t>质量与持续改进</w:t>
      </w:r>
    </w:p>
    <w:p w14:paraId="15984C19">
      <w:pPr>
        <w:pStyle w:val="165"/>
      </w:pPr>
      <w:r>
        <w:rPr>
          <w:rFonts w:hint="eastAsia"/>
        </w:rPr>
        <w:t>应建立质量管理体系，对学院的运行效能、人才培养质量、国际合作成效等进行持续监控。</w:t>
      </w:r>
    </w:p>
    <w:p w14:paraId="0EAC26D6">
      <w:pPr>
        <w:pStyle w:val="165"/>
      </w:pPr>
      <w:r>
        <w:rPr>
          <w:rFonts w:hint="eastAsia"/>
        </w:rPr>
        <w:t>应建立年度自评制度，形成自评报告，发现问题并及时整改。</w:t>
      </w:r>
    </w:p>
    <w:p w14:paraId="7D5AABB7">
      <w:pPr>
        <w:pStyle w:val="165"/>
      </w:pPr>
      <w:r>
        <w:rPr>
          <w:rFonts w:hint="eastAsia"/>
        </w:rPr>
        <w:t>应接受项目主持单位、行业组织或教育主管部门组织的中期检查与终期验收。</w:t>
      </w:r>
    </w:p>
    <w:p w14:paraId="1A7A92BB">
      <w:pPr>
        <w:pStyle w:val="165"/>
      </w:pPr>
      <w:r>
        <w:rPr>
          <w:rFonts w:hint="eastAsia"/>
        </w:rPr>
        <w:t>应根据内外部评价结果，制定并实施改进措施，持续优化学院的运行与管理。</w:t>
      </w:r>
    </w:p>
    <w:p w14:paraId="6B5BBE29">
      <w:pPr>
        <w:pStyle w:val="104"/>
        <w:spacing w:before="240" w:after="240"/>
      </w:pPr>
      <w:r>
        <w:rPr>
          <w:rFonts w:hint="eastAsia"/>
        </w:rPr>
        <w:t>评价与改进</w:t>
      </w:r>
    </w:p>
    <w:p w14:paraId="399B2DDF">
      <w:pPr>
        <w:pStyle w:val="105"/>
        <w:spacing w:before="120" w:after="120"/>
      </w:pPr>
      <w:r>
        <w:rPr>
          <w:rFonts w:hint="eastAsia"/>
        </w:rPr>
        <w:t>内部评价</w:t>
      </w:r>
    </w:p>
    <w:p w14:paraId="113B8AF9">
      <w:pPr>
        <w:pStyle w:val="165"/>
      </w:pPr>
      <w:r>
        <w:rPr>
          <w:rFonts w:hint="eastAsia"/>
        </w:rPr>
        <w:t>应建立完善的内部质量保证体系，定期对教学质量、学生满意度、社会效益等进行评估。</w:t>
      </w:r>
    </w:p>
    <w:p w14:paraId="344F2675">
      <w:pPr>
        <w:pStyle w:val="165"/>
      </w:pPr>
      <w:r>
        <w:rPr>
          <w:rFonts w:hint="eastAsia"/>
        </w:rPr>
        <w:t>建立年度自评制度，对建设进展、人才培养质量、国际合作成效等进行自我评估，形成自评报告。</w:t>
      </w:r>
    </w:p>
    <w:p w14:paraId="5B833297">
      <w:pPr>
        <w:pStyle w:val="105"/>
        <w:spacing w:before="120" w:after="120"/>
      </w:pPr>
      <w:r>
        <w:rPr>
          <w:rFonts w:hint="eastAsia"/>
        </w:rPr>
        <w:t>外部评价</w:t>
      </w:r>
    </w:p>
    <w:p w14:paraId="5338ADC3">
      <w:pPr>
        <w:pStyle w:val="165"/>
      </w:pPr>
      <w:r>
        <w:rPr>
          <w:rFonts w:hint="eastAsia"/>
        </w:rPr>
        <w:t>应接受项目主持单位、行业组织或教育主管部门组织的中期检查与终期验收。</w:t>
      </w:r>
    </w:p>
    <w:p w14:paraId="406EE2B0">
      <w:pPr>
        <w:pStyle w:val="165"/>
      </w:pPr>
      <w:r>
        <w:rPr>
          <w:rFonts w:hint="eastAsia"/>
        </w:rPr>
        <w:t>“国际中餐学院”质量评价指标参见附录B。</w:t>
      </w:r>
    </w:p>
    <w:p w14:paraId="78FB5366">
      <w:pPr>
        <w:pStyle w:val="105"/>
        <w:spacing w:before="120" w:after="120"/>
      </w:pPr>
      <w:r>
        <w:rPr>
          <w:rFonts w:hint="eastAsia"/>
        </w:rPr>
        <w:t>持续改进</w:t>
      </w:r>
    </w:p>
    <w:p w14:paraId="5CBB6B9C">
      <w:pPr>
        <w:pStyle w:val="165"/>
      </w:pPr>
      <w:r>
        <w:rPr>
          <w:rFonts w:hint="eastAsia"/>
        </w:rPr>
        <w:t>应建立持续改进机制，根据评估结果和各方反馈，优化办学模式和教学内容。</w:t>
      </w:r>
    </w:p>
    <w:p w14:paraId="1D1C2DBE">
      <w:pPr>
        <w:pStyle w:val="165"/>
      </w:pPr>
      <w:r>
        <w:rPr>
          <w:rFonts w:hint="eastAsia"/>
        </w:rPr>
        <w:t xml:space="preserve">根据内外部评价结果，制定并实施纠正与预防措施，持续优化学院的建设与运行管理。 </w:t>
      </w:r>
    </w:p>
    <w:p w14:paraId="5D13A558">
      <w:pPr>
        <w:pStyle w:val="104"/>
        <w:numPr>
          <w:ilvl w:val="0"/>
          <w:numId w:val="0"/>
        </w:numPr>
        <w:spacing w:before="240" w:after="240"/>
      </w:pPr>
    </w:p>
    <w:p w14:paraId="55BAFA35">
      <w:pPr>
        <w:pStyle w:val="56"/>
        <w:ind w:firstLine="420"/>
        <w:sectPr>
          <w:pgSz w:w="11906" w:h="16838"/>
          <w:pgMar w:top="1928" w:right="1134" w:bottom="1134" w:left="1134" w:header="1418" w:footer="1134" w:gutter="284"/>
          <w:pgNumType w:start="1"/>
          <w:cols w:space="425" w:num="1"/>
          <w:formProt w:val="0"/>
          <w:docGrid w:linePitch="312" w:charSpace="0"/>
        </w:sectPr>
      </w:pPr>
    </w:p>
    <w:bookmarkEnd w:id="22"/>
    <w:p w14:paraId="011DA9E9">
      <w:pPr>
        <w:pStyle w:val="198"/>
        <w:rPr>
          <w:rFonts w:hint="eastAsia"/>
          <w:vanish w:val="0"/>
        </w:rPr>
      </w:pPr>
      <w:bookmarkStart w:id="44" w:name="BookMark5"/>
    </w:p>
    <w:p w14:paraId="6A0BFD46">
      <w:pPr>
        <w:pStyle w:val="199"/>
        <w:rPr>
          <w:vanish w:val="0"/>
        </w:rPr>
      </w:pPr>
    </w:p>
    <w:p w14:paraId="69005805">
      <w:pPr>
        <w:pStyle w:val="76"/>
        <w:spacing w:after="120"/>
      </w:pPr>
      <w:r>
        <w:br w:type="textWrapping"/>
      </w:r>
      <w:r>
        <w:rPr>
          <w:rFonts w:hint="eastAsia"/>
        </w:rPr>
        <w:t>（资料性）</w:t>
      </w:r>
      <w:r>
        <w:br w:type="textWrapping"/>
      </w:r>
      <w:r>
        <w:rPr>
          <w:rFonts w:hint="eastAsia"/>
        </w:rPr>
        <w:t>“国际中餐学院”核心课程模块示例</w:t>
      </w:r>
    </w:p>
    <w:p w14:paraId="4D3DAB35">
      <w:pPr>
        <w:pStyle w:val="211"/>
      </w:pPr>
      <w:r>
        <w:rPr>
          <w:rFonts w:hint="eastAsia"/>
        </w:rPr>
        <w:t>“国际中餐学院”核心课程模块包括中餐技艺、餐饮管理、中国文化和语言与沟通。</w:t>
      </w:r>
    </w:p>
    <w:p w14:paraId="51DDDF9A">
      <w:pPr>
        <w:pStyle w:val="211"/>
      </w:pPr>
      <w:r>
        <w:rPr>
          <w:rFonts w:hint="eastAsia"/>
        </w:rPr>
        <w:t>各模块的课程名称与教学内容为建议性示例，学院可根据实际教学资源、学员层次及当地需求进行增删或合并。</w:t>
      </w:r>
    </w:p>
    <w:p w14:paraId="47D7FE7F">
      <w:pPr>
        <w:pStyle w:val="211"/>
      </w:pPr>
      <w:r>
        <w:rPr>
          <w:rFonts w:hint="eastAsia"/>
        </w:rPr>
        <w:t>实践教学（含实训、实习、演练等）应贯穿于各模块中，确保总实践课时不低于总课时的50%。</w:t>
      </w:r>
    </w:p>
    <w:p w14:paraId="444B2906">
      <w:pPr>
        <w:pStyle w:val="211"/>
      </w:pPr>
      <w:r>
        <w:rPr>
          <w:rFonts w:hint="eastAsia"/>
        </w:rPr>
        <w:t>鼓励学院结合海外合作方的特色开设“区域中餐特色”选修课程（如“东南亚中餐融合菜”“欧洲中餐本地化经营”等）。</w:t>
      </w:r>
    </w:p>
    <w:p w14:paraId="1271B1AF">
      <w:pPr>
        <w:pStyle w:val="211"/>
      </w:pPr>
      <w:r>
        <w:rPr>
          <w:rFonts w:hint="eastAsia"/>
        </w:rPr>
        <w:t>中餐技艺模块占总课时约60%。</w:t>
      </w:r>
    </w:p>
    <w:p w14:paraId="2EBA4CA2">
      <w:pPr>
        <w:pStyle w:val="211"/>
      </w:pPr>
      <w:r>
        <w:rPr>
          <w:rFonts w:hint="eastAsia"/>
        </w:rPr>
        <w:t>中餐技艺模块重点传授经典中餐烹饪技艺、菜品制作及厨房管理能力。</w:t>
      </w:r>
    </w:p>
    <w:p w14:paraId="3C1AB652">
      <w:pPr>
        <w:pStyle w:val="211"/>
      </w:pPr>
      <w:r>
        <w:rPr>
          <w:rFonts w:hint="eastAsia"/>
        </w:rPr>
        <w:t>中餐技艺模块课程主要内容见下表A.1。</w:t>
      </w:r>
    </w:p>
    <w:p w14:paraId="67D14EF7">
      <w:pPr>
        <w:pStyle w:val="77"/>
        <w:spacing w:before="120" w:after="120"/>
      </w:pPr>
      <w:r>
        <w:rPr>
          <w:rFonts w:hint="eastAsia"/>
        </w:rPr>
        <w:t>中餐技艺模块课程主要内容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3392"/>
        <w:gridCol w:w="5942"/>
      </w:tblGrid>
      <w:tr w14:paraId="474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392" w:type="dxa"/>
          </w:tcPr>
          <w:p w14:paraId="63CF3823">
            <w:pPr>
              <w:pStyle w:val="178"/>
              <w:rPr>
                <w:rFonts w:hint="eastAsia" w:hAnsi="宋体"/>
                <w:sz w:val="21"/>
                <w:szCs w:val="21"/>
              </w:rPr>
            </w:pPr>
            <w:r>
              <w:rPr>
                <w:rFonts w:hint="eastAsia" w:hAnsi="宋体"/>
                <w:sz w:val="21"/>
                <w:szCs w:val="21"/>
              </w:rPr>
              <w:t>课程名称（示例）</w:t>
            </w:r>
          </w:p>
        </w:tc>
        <w:tc>
          <w:tcPr>
            <w:tcW w:w="5942" w:type="dxa"/>
          </w:tcPr>
          <w:p w14:paraId="1FA991D3">
            <w:pPr>
              <w:pStyle w:val="178"/>
              <w:rPr>
                <w:rFonts w:hint="eastAsia" w:hAnsi="宋体"/>
                <w:sz w:val="21"/>
                <w:szCs w:val="21"/>
              </w:rPr>
            </w:pPr>
            <w:r>
              <w:rPr>
                <w:rFonts w:hint="eastAsia" w:hAnsi="宋体"/>
                <w:sz w:val="21"/>
                <w:szCs w:val="21"/>
              </w:rPr>
              <w:t>主要教学内容</w:t>
            </w:r>
          </w:p>
        </w:tc>
      </w:tr>
      <w:tr w14:paraId="4DA7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4C0869D2">
            <w:pPr>
              <w:pStyle w:val="178"/>
              <w:rPr>
                <w:rFonts w:hint="eastAsia" w:hAnsi="宋体"/>
                <w:sz w:val="21"/>
                <w:szCs w:val="21"/>
              </w:rPr>
            </w:pPr>
            <w:r>
              <w:rPr>
                <w:rFonts w:hint="eastAsia" w:hAnsi="宋体"/>
                <w:sz w:val="21"/>
                <w:szCs w:val="21"/>
              </w:rPr>
              <w:t>中式烹饪基础</w:t>
            </w:r>
          </w:p>
        </w:tc>
        <w:tc>
          <w:tcPr>
            <w:tcW w:w="5942" w:type="dxa"/>
          </w:tcPr>
          <w:p w14:paraId="79D07866">
            <w:pPr>
              <w:pStyle w:val="178"/>
              <w:rPr>
                <w:rFonts w:hint="eastAsia" w:hAnsi="宋体"/>
                <w:sz w:val="21"/>
                <w:szCs w:val="21"/>
              </w:rPr>
            </w:pPr>
            <w:r>
              <w:rPr>
                <w:rFonts w:hint="eastAsia" w:hAnsi="宋体"/>
                <w:sz w:val="21"/>
                <w:szCs w:val="21"/>
              </w:rPr>
              <w:t>刀工、火候、调味、上浆、挂糊等基本技能</w:t>
            </w:r>
          </w:p>
        </w:tc>
      </w:tr>
      <w:tr w14:paraId="5F08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3BC17B00">
            <w:pPr>
              <w:pStyle w:val="178"/>
              <w:rPr>
                <w:rFonts w:hint="eastAsia" w:hAnsi="宋体"/>
                <w:sz w:val="21"/>
                <w:szCs w:val="21"/>
              </w:rPr>
            </w:pPr>
            <w:r>
              <w:rPr>
                <w:rFonts w:hint="eastAsia" w:hAnsi="宋体"/>
                <w:sz w:val="21"/>
                <w:szCs w:val="21"/>
              </w:rPr>
              <w:t>八大菜系经典</w:t>
            </w:r>
          </w:p>
        </w:tc>
        <w:tc>
          <w:tcPr>
            <w:tcW w:w="5942" w:type="dxa"/>
          </w:tcPr>
          <w:p w14:paraId="08988A91">
            <w:pPr>
              <w:pStyle w:val="178"/>
              <w:rPr>
                <w:rFonts w:hint="eastAsia" w:hAnsi="宋体"/>
                <w:sz w:val="21"/>
                <w:szCs w:val="21"/>
              </w:rPr>
            </w:pPr>
            <w:r>
              <w:rPr>
                <w:rFonts w:hint="eastAsia" w:hAnsi="宋体"/>
                <w:sz w:val="21"/>
                <w:szCs w:val="21"/>
              </w:rPr>
              <w:t>川、鲁、粤、苏、浙、闽、湘、徽等菜系的代表菜品制作</w:t>
            </w:r>
          </w:p>
        </w:tc>
      </w:tr>
      <w:tr w14:paraId="4ABD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665B3C2A">
            <w:pPr>
              <w:pStyle w:val="178"/>
              <w:rPr>
                <w:rFonts w:hint="eastAsia" w:hAnsi="宋体"/>
                <w:sz w:val="21"/>
                <w:szCs w:val="21"/>
              </w:rPr>
            </w:pPr>
            <w:r>
              <w:rPr>
                <w:rFonts w:hint="eastAsia" w:hAnsi="宋体"/>
                <w:sz w:val="21"/>
                <w:szCs w:val="21"/>
              </w:rPr>
              <w:t>中式面点技艺</w:t>
            </w:r>
          </w:p>
        </w:tc>
        <w:tc>
          <w:tcPr>
            <w:tcW w:w="5942" w:type="dxa"/>
          </w:tcPr>
          <w:p w14:paraId="55201476">
            <w:pPr>
              <w:pStyle w:val="178"/>
              <w:rPr>
                <w:rFonts w:hint="eastAsia" w:hAnsi="宋体"/>
                <w:sz w:val="21"/>
                <w:szCs w:val="21"/>
              </w:rPr>
            </w:pPr>
            <w:r>
              <w:rPr>
                <w:rFonts w:hint="eastAsia" w:hAnsi="宋体"/>
                <w:sz w:val="21"/>
                <w:szCs w:val="21"/>
              </w:rPr>
              <w:t>水调面团、发酵面团、油酥面团、点心制作</w:t>
            </w:r>
          </w:p>
        </w:tc>
      </w:tr>
      <w:tr w14:paraId="3996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71628AE5">
            <w:pPr>
              <w:pStyle w:val="178"/>
              <w:rPr>
                <w:rFonts w:hint="eastAsia" w:hAnsi="宋体"/>
                <w:sz w:val="21"/>
                <w:szCs w:val="21"/>
              </w:rPr>
            </w:pPr>
            <w:r>
              <w:rPr>
                <w:rFonts w:hint="eastAsia" w:hAnsi="宋体"/>
                <w:sz w:val="21"/>
                <w:szCs w:val="21"/>
              </w:rPr>
              <w:t>食品雕刻与盘饰</w:t>
            </w:r>
          </w:p>
        </w:tc>
        <w:tc>
          <w:tcPr>
            <w:tcW w:w="5942" w:type="dxa"/>
          </w:tcPr>
          <w:p w14:paraId="6C7758CB">
            <w:pPr>
              <w:pStyle w:val="178"/>
              <w:rPr>
                <w:rFonts w:hint="eastAsia" w:hAnsi="宋体"/>
                <w:sz w:val="21"/>
                <w:szCs w:val="21"/>
              </w:rPr>
            </w:pPr>
            <w:r>
              <w:rPr>
                <w:rFonts w:hint="eastAsia" w:hAnsi="宋体"/>
                <w:sz w:val="21"/>
                <w:szCs w:val="21"/>
              </w:rPr>
              <w:t>果蔬雕刻、糖艺、盘头装饰与美化</w:t>
            </w:r>
          </w:p>
        </w:tc>
      </w:tr>
      <w:tr w14:paraId="11A2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5585E110">
            <w:pPr>
              <w:pStyle w:val="178"/>
              <w:rPr>
                <w:rFonts w:hint="eastAsia" w:hAnsi="宋体"/>
                <w:sz w:val="21"/>
                <w:szCs w:val="21"/>
              </w:rPr>
            </w:pPr>
            <w:r>
              <w:rPr>
                <w:rFonts w:hint="eastAsia" w:hAnsi="宋体"/>
                <w:sz w:val="21"/>
                <w:szCs w:val="21"/>
              </w:rPr>
              <w:t>中餐宴席设计与制作</w:t>
            </w:r>
          </w:p>
        </w:tc>
        <w:tc>
          <w:tcPr>
            <w:tcW w:w="5942" w:type="dxa"/>
          </w:tcPr>
          <w:p w14:paraId="0C180C77">
            <w:pPr>
              <w:pStyle w:val="178"/>
              <w:rPr>
                <w:rFonts w:hint="eastAsia" w:hAnsi="宋体"/>
                <w:sz w:val="21"/>
                <w:szCs w:val="21"/>
              </w:rPr>
            </w:pPr>
            <w:r>
              <w:rPr>
                <w:rFonts w:hint="eastAsia" w:hAnsi="宋体"/>
                <w:sz w:val="21"/>
                <w:szCs w:val="21"/>
              </w:rPr>
              <w:t>菜单设计、成本核算、宴席菜品组合与制作</w:t>
            </w:r>
          </w:p>
        </w:tc>
      </w:tr>
      <w:tr w14:paraId="2D82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31D37DED">
            <w:pPr>
              <w:pStyle w:val="178"/>
              <w:rPr>
                <w:rFonts w:hint="eastAsia" w:hAnsi="宋体"/>
                <w:sz w:val="21"/>
                <w:szCs w:val="21"/>
              </w:rPr>
            </w:pPr>
            <w:r>
              <w:rPr>
                <w:rFonts w:hint="eastAsia" w:hAnsi="宋体"/>
                <w:sz w:val="21"/>
                <w:szCs w:val="21"/>
              </w:rPr>
              <w:t>融合创意菜</w:t>
            </w:r>
          </w:p>
        </w:tc>
        <w:tc>
          <w:tcPr>
            <w:tcW w:w="5942" w:type="dxa"/>
          </w:tcPr>
          <w:p w14:paraId="1992BDA6">
            <w:pPr>
              <w:pStyle w:val="178"/>
              <w:rPr>
                <w:rFonts w:hint="eastAsia" w:hAnsi="宋体"/>
                <w:sz w:val="21"/>
                <w:szCs w:val="21"/>
              </w:rPr>
            </w:pPr>
            <w:r>
              <w:rPr>
                <w:rFonts w:hint="eastAsia" w:hAnsi="宋体"/>
                <w:sz w:val="21"/>
                <w:szCs w:val="21"/>
              </w:rPr>
              <w:t>基于当地食材与口味的中西融合创新</w:t>
            </w:r>
          </w:p>
        </w:tc>
      </w:tr>
      <w:tr w14:paraId="2F4A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tcPr>
          <w:p w14:paraId="79E6A4DE">
            <w:pPr>
              <w:pStyle w:val="178"/>
              <w:rPr>
                <w:rFonts w:hint="eastAsia" w:hAnsi="宋体"/>
                <w:sz w:val="21"/>
                <w:szCs w:val="21"/>
              </w:rPr>
            </w:pPr>
            <w:r>
              <w:rPr>
                <w:rFonts w:hint="eastAsia" w:hAnsi="宋体"/>
                <w:sz w:val="21"/>
                <w:szCs w:val="21"/>
              </w:rPr>
              <w:t>后厨管理与食品安全</w:t>
            </w:r>
          </w:p>
        </w:tc>
        <w:tc>
          <w:tcPr>
            <w:tcW w:w="5942" w:type="dxa"/>
          </w:tcPr>
          <w:p w14:paraId="204FC526">
            <w:pPr>
              <w:pStyle w:val="178"/>
              <w:rPr>
                <w:rFonts w:hint="eastAsia" w:hAnsi="宋体"/>
                <w:sz w:val="21"/>
                <w:szCs w:val="21"/>
              </w:rPr>
            </w:pPr>
            <w:r>
              <w:rPr>
                <w:rFonts w:hint="eastAsia" w:hAnsi="宋体"/>
                <w:sz w:val="21"/>
                <w:szCs w:val="21"/>
              </w:rPr>
              <w:t>厨房流程、卫生规范、HACCP应用</w:t>
            </w:r>
          </w:p>
        </w:tc>
      </w:tr>
    </w:tbl>
    <w:p w14:paraId="69EDF8CB">
      <w:pPr>
        <w:pStyle w:val="211"/>
      </w:pPr>
      <w:r>
        <w:rPr>
          <w:rFonts w:hint="eastAsia"/>
        </w:rPr>
        <w:t>餐饮管理模块占总课时约25%。</w:t>
      </w:r>
    </w:p>
    <w:p w14:paraId="696E6287">
      <w:pPr>
        <w:pStyle w:val="211"/>
      </w:pPr>
      <w:r>
        <w:rPr>
          <w:rFonts w:hint="eastAsia"/>
        </w:rPr>
        <w:t>餐饮管理模块重点培养学员餐饮运营、成本控制、合规经营等管理能力。</w:t>
      </w:r>
    </w:p>
    <w:p w14:paraId="4AC6CCA1">
      <w:pPr>
        <w:pStyle w:val="211"/>
      </w:pPr>
      <w:r>
        <w:rPr>
          <w:rFonts w:hint="eastAsia"/>
        </w:rPr>
        <w:t>餐饮管理模块课程主要内容见下表A.2。</w:t>
      </w:r>
    </w:p>
    <w:p w14:paraId="47A5126E">
      <w:pPr>
        <w:pStyle w:val="77"/>
        <w:spacing w:before="120" w:after="120"/>
      </w:pPr>
      <w:r>
        <w:rPr>
          <w:rFonts w:hint="eastAsia"/>
        </w:rPr>
        <w:t>餐饮管理模块课程主要内容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3392"/>
        <w:gridCol w:w="5942"/>
      </w:tblGrid>
      <w:tr w14:paraId="619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392" w:type="dxa"/>
          </w:tcPr>
          <w:p w14:paraId="22C0ECEA">
            <w:pPr>
              <w:pStyle w:val="178"/>
              <w:rPr>
                <w:rFonts w:hint="eastAsia" w:hAnsi="宋体"/>
                <w:sz w:val="21"/>
                <w:szCs w:val="21"/>
              </w:rPr>
            </w:pPr>
            <w:r>
              <w:rPr>
                <w:rFonts w:hint="eastAsia" w:hAnsi="宋体"/>
                <w:sz w:val="21"/>
                <w:szCs w:val="21"/>
              </w:rPr>
              <w:t>课程名称（示例）</w:t>
            </w:r>
          </w:p>
        </w:tc>
        <w:tc>
          <w:tcPr>
            <w:tcW w:w="5942" w:type="dxa"/>
          </w:tcPr>
          <w:p w14:paraId="5E4D9683">
            <w:pPr>
              <w:pStyle w:val="178"/>
              <w:rPr>
                <w:rFonts w:hint="eastAsia" w:hAnsi="宋体"/>
                <w:sz w:val="21"/>
                <w:szCs w:val="21"/>
              </w:rPr>
            </w:pPr>
            <w:r>
              <w:rPr>
                <w:rFonts w:hint="eastAsia" w:hAnsi="宋体"/>
                <w:sz w:val="21"/>
                <w:szCs w:val="21"/>
              </w:rPr>
              <w:t>主要教学内容</w:t>
            </w:r>
          </w:p>
        </w:tc>
      </w:tr>
      <w:tr w14:paraId="5683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05EB9618">
            <w:pPr>
              <w:pStyle w:val="178"/>
              <w:rPr>
                <w:rFonts w:hint="eastAsia" w:hAnsi="宋体"/>
                <w:sz w:val="21"/>
                <w:szCs w:val="21"/>
              </w:rPr>
            </w:pPr>
            <w:r>
              <w:rPr>
                <w:rFonts w:hint="eastAsia" w:hAnsi="宋体"/>
                <w:sz w:val="21"/>
                <w:szCs w:val="21"/>
                <w:lang w:bidi="ar"/>
              </w:rPr>
              <w:t>餐饮企业运营管理</w:t>
            </w:r>
          </w:p>
        </w:tc>
        <w:tc>
          <w:tcPr>
            <w:tcW w:w="5942" w:type="dxa"/>
            <w:vAlign w:val="center"/>
          </w:tcPr>
          <w:p w14:paraId="39E9B9A3">
            <w:pPr>
              <w:pStyle w:val="178"/>
              <w:rPr>
                <w:rFonts w:hint="eastAsia" w:hAnsi="宋体"/>
                <w:sz w:val="21"/>
                <w:szCs w:val="21"/>
              </w:rPr>
            </w:pPr>
            <w:r>
              <w:rPr>
                <w:rFonts w:hint="eastAsia" w:hAnsi="宋体"/>
                <w:sz w:val="21"/>
                <w:szCs w:val="21"/>
                <w:lang w:bidi="ar"/>
              </w:rPr>
              <w:t>餐厅筹备、日常经营、人员管理、顾客服务</w:t>
            </w:r>
          </w:p>
        </w:tc>
      </w:tr>
      <w:tr w14:paraId="4EF2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0B2FCE4C">
            <w:pPr>
              <w:pStyle w:val="178"/>
              <w:rPr>
                <w:rFonts w:hint="eastAsia" w:hAnsi="宋体"/>
                <w:sz w:val="21"/>
                <w:szCs w:val="21"/>
              </w:rPr>
            </w:pPr>
            <w:r>
              <w:rPr>
                <w:rFonts w:hint="eastAsia" w:hAnsi="宋体"/>
                <w:sz w:val="21"/>
                <w:szCs w:val="21"/>
                <w:lang w:bidi="ar"/>
              </w:rPr>
              <w:t>成本控制与菜单工程</w:t>
            </w:r>
          </w:p>
        </w:tc>
        <w:tc>
          <w:tcPr>
            <w:tcW w:w="5942" w:type="dxa"/>
            <w:vAlign w:val="center"/>
          </w:tcPr>
          <w:p w14:paraId="440A01C4">
            <w:pPr>
              <w:pStyle w:val="178"/>
              <w:rPr>
                <w:rFonts w:hint="eastAsia" w:hAnsi="宋体"/>
                <w:sz w:val="21"/>
                <w:szCs w:val="21"/>
              </w:rPr>
            </w:pPr>
            <w:r>
              <w:rPr>
                <w:rFonts w:hint="eastAsia" w:hAnsi="宋体"/>
                <w:sz w:val="21"/>
                <w:szCs w:val="21"/>
                <w:lang w:bidi="ar"/>
              </w:rPr>
              <w:t>原材料采购、库存管理、菜品定价、菜品盈利分析</w:t>
            </w:r>
          </w:p>
        </w:tc>
      </w:tr>
      <w:tr w14:paraId="0DF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4AFD1AF8">
            <w:pPr>
              <w:pStyle w:val="178"/>
              <w:rPr>
                <w:rFonts w:hint="eastAsia" w:hAnsi="宋体"/>
                <w:sz w:val="21"/>
                <w:szCs w:val="21"/>
              </w:rPr>
            </w:pPr>
            <w:r>
              <w:rPr>
                <w:rFonts w:hint="eastAsia" w:hAnsi="宋体"/>
                <w:sz w:val="21"/>
                <w:szCs w:val="21"/>
                <w:lang w:bidi="ar"/>
              </w:rPr>
              <w:t>食品安全与卫生管理</w:t>
            </w:r>
          </w:p>
        </w:tc>
        <w:tc>
          <w:tcPr>
            <w:tcW w:w="5942" w:type="dxa"/>
            <w:vAlign w:val="center"/>
          </w:tcPr>
          <w:p w14:paraId="6B0084FE">
            <w:pPr>
              <w:pStyle w:val="178"/>
              <w:rPr>
                <w:rFonts w:hint="eastAsia" w:hAnsi="宋体"/>
                <w:sz w:val="21"/>
                <w:szCs w:val="21"/>
              </w:rPr>
            </w:pPr>
            <w:r>
              <w:rPr>
                <w:rFonts w:hint="eastAsia" w:hAnsi="宋体"/>
                <w:sz w:val="21"/>
                <w:szCs w:val="21"/>
                <w:lang w:bidi="ar"/>
              </w:rPr>
              <w:t>GB 14934及相关国际标准、食品储存、交叉污染预防</w:t>
            </w:r>
          </w:p>
        </w:tc>
      </w:tr>
      <w:tr w14:paraId="6B17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6DDCBC9F">
            <w:pPr>
              <w:pStyle w:val="178"/>
              <w:rPr>
                <w:rFonts w:hint="eastAsia" w:hAnsi="宋体"/>
                <w:sz w:val="21"/>
                <w:szCs w:val="21"/>
              </w:rPr>
            </w:pPr>
            <w:r>
              <w:rPr>
                <w:rFonts w:hint="eastAsia" w:hAnsi="宋体"/>
                <w:sz w:val="21"/>
                <w:szCs w:val="21"/>
                <w:lang w:bidi="ar"/>
              </w:rPr>
              <w:t>当地餐饮法规与政策</w:t>
            </w:r>
          </w:p>
        </w:tc>
        <w:tc>
          <w:tcPr>
            <w:tcW w:w="5942" w:type="dxa"/>
            <w:vAlign w:val="center"/>
          </w:tcPr>
          <w:p w14:paraId="483D19E5">
            <w:pPr>
              <w:pStyle w:val="178"/>
              <w:rPr>
                <w:rFonts w:hint="eastAsia" w:hAnsi="宋体"/>
                <w:sz w:val="21"/>
                <w:szCs w:val="21"/>
              </w:rPr>
            </w:pPr>
            <w:r>
              <w:rPr>
                <w:rFonts w:hint="eastAsia" w:hAnsi="宋体"/>
                <w:sz w:val="21"/>
                <w:szCs w:val="21"/>
                <w:lang w:bidi="ar"/>
              </w:rPr>
              <w:t>所在国（地区）食品卫生法、劳工法、税务规定</w:t>
            </w:r>
          </w:p>
        </w:tc>
      </w:tr>
      <w:tr w14:paraId="4232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76733F67">
            <w:pPr>
              <w:pStyle w:val="178"/>
              <w:rPr>
                <w:rFonts w:hint="eastAsia" w:hAnsi="宋体"/>
                <w:sz w:val="21"/>
                <w:szCs w:val="21"/>
              </w:rPr>
            </w:pPr>
            <w:r>
              <w:rPr>
                <w:rFonts w:hint="eastAsia" w:hAnsi="宋体"/>
                <w:sz w:val="21"/>
                <w:szCs w:val="21"/>
                <w:lang w:bidi="ar"/>
              </w:rPr>
              <w:t>餐饮市场营销</w:t>
            </w:r>
          </w:p>
        </w:tc>
        <w:tc>
          <w:tcPr>
            <w:tcW w:w="5942" w:type="dxa"/>
            <w:vAlign w:val="center"/>
          </w:tcPr>
          <w:p w14:paraId="3E5446EF">
            <w:pPr>
              <w:pStyle w:val="178"/>
              <w:rPr>
                <w:rFonts w:hint="eastAsia" w:hAnsi="宋体"/>
                <w:sz w:val="21"/>
                <w:szCs w:val="21"/>
              </w:rPr>
            </w:pPr>
            <w:r>
              <w:rPr>
                <w:rFonts w:hint="eastAsia" w:hAnsi="宋体"/>
                <w:sz w:val="21"/>
                <w:szCs w:val="21"/>
                <w:lang w:bidi="ar"/>
              </w:rPr>
              <w:t>品牌推广、数字化营销、顾客关系管理</w:t>
            </w:r>
          </w:p>
        </w:tc>
      </w:tr>
      <w:tr w14:paraId="7512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13C427A5">
            <w:pPr>
              <w:pStyle w:val="178"/>
              <w:rPr>
                <w:rFonts w:hint="eastAsia" w:hAnsi="宋体"/>
                <w:sz w:val="21"/>
                <w:szCs w:val="21"/>
              </w:rPr>
            </w:pPr>
            <w:r>
              <w:rPr>
                <w:rFonts w:hint="eastAsia" w:hAnsi="宋体"/>
                <w:sz w:val="21"/>
                <w:szCs w:val="21"/>
                <w:lang w:bidi="ar"/>
              </w:rPr>
              <w:t>中餐供应链管理</w:t>
            </w:r>
          </w:p>
        </w:tc>
        <w:tc>
          <w:tcPr>
            <w:tcW w:w="5942" w:type="dxa"/>
            <w:vAlign w:val="center"/>
          </w:tcPr>
          <w:p w14:paraId="67319AF6">
            <w:pPr>
              <w:pStyle w:val="178"/>
              <w:rPr>
                <w:rFonts w:hint="eastAsia" w:hAnsi="宋体"/>
                <w:sz w:val="21"/>
                <w:szCs w:val="21"/>
              </w:rPr>
            </w:pPr>
            <w:r>
              <w:rPr>
                <w:rFonts w:hint="eastAsia" w:hAnsi="宋体"/>
                <w:sz w:val="21"/>
                <w:szCs w:val="21"/>
                <w:lang w:bidi="ar"/>
              </w:rPr>
              <w:t>食材采购、物流配送、供应商管理</w:t>
            </w:r>
          </w:p>
        </w:tc>
      </w:tr>
    </w:tbl>
    <w:p w14:paraId="6D7B482A">
      <w:pPr>
        <w:pStyle w:val="211"/>
      </w:pPr>
      <w:r>
        <w:rPr>
          <w:rFonts w:hint="eastAsia"/>
        </w:rPr>
        <w:t>中国文化模块占总课时约10%。</w:t>
      </w:r>
    </w:p>
    <w:p w14:paraId="2D8C74A9">
      <w:pPr>
        <w:pStyle w:val="211"/>
      </w:pPr>
      <w:r>
        <w:rPr>
          <w:rFonts w:hint="eastAsia"/>
        </w:rPr>
        <w:t>中国文化模块增进学员对中华饮食文化和传统文化的理解，提升</w:t>
      </w:r>
      <w:r>
        <w:rPr>
          <w:rFonts w:hint="eastAsia"/>
          <w:lang w:eastAsia="zh-CN"/>
        </w:rPr>
        <w:t>其文化</w:t>
      </w:r>
      <w:r>
        <w:rPr>
          <w:rFonts w:hint="eastAsia"/>
        </w:rPr>
        <w:t>传播能力。</w:t>
      </w:r>
    </w:p>
    <w:p w14:paraId="0064458D">
      <w:pPr>
        <w:pStyle w:val="211"/>
      </w:pPr>
      <w:r>
        <w:rPr>
          <w:rFonts w:hint="eastAsia"/>
        </w:rPr>
        <w:t>中国文化模块课程主要内容见下表A.3。</w:t>
      </w:r>
    </w:p>
    <w:p w14:paraId="21CCD0A5">
      <w:pPr>
        <w:pStyle w:val="77"/>
        <w:spacing w:before="120" w:after="120"/>
      </w:pPr>
      <w:r>
        <w:rPr>
          <w:rFonts w:hint="eastAsia"/>
        </w:rPr>
        <w:t>中国文化模块课程主要内容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3392"/>
        <w:gridCol w:w="5942"/>
      </w:tblGrid>
      <w:tr w14:paraId="2C8E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392" w:type="dxa"/>
          </w:tcPr>
          <w:p w14:paraId="496D1A0A">
            <w:pPr>
              <w:pStyle w:val="178"/>
              <w:rPr>
                <w:rFonts w:hint="eastAsia" w:hAnsi="宋体"/>
                <w:sz w:val="21"/>
                <w:szCs w:val="21"/>
              </w:rPr>
            </w:pPr>
            <w:r>
              <w:rPr>
                <w:rFonts w:hint="eastAsia" w:hAnsi="宋体"/>
                <w:sz w:val="21"/>
                <w:szCs w:val="21"/>
              </w:rPr>
              <w:t>课程名称（示例）</w:t>
            </w:r>
          </w:p>
        </w:tc>
        <w:tc>
          <w:tcPr>
            <w:tcW w:w="5942" w:type="dxa"/>
          </w:tcPr>
          <w:p w14:paraId="798CE086">
            <w:pPr>
              <w:pStyle w:val="178"/>
              <w:rPr>
                <w:rFonts w:hint="eastAsia" w:hAnsi="宋体"/>
                <w:sz w:val="21"/>
                <w:szCs w:val="21"/>
              </w:rPr>
            </w:pPr>
            <w:r>
              <w:rPr>
                <w:rFonts w:hint="eastAsia" w:hAnsi="宋体"/>
                <w:sz w:val="21"/>
                <w:szCs w:val="21"/>
              </w:rPr>
              <w:t>主要教学内容</w:t>
            </w:r>
          </w:p>
        </w:tc>
      </w:tr>
      <w:tr w14:paraId="3A96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6F29DF3A">
            <w:pPr>
              <w:pStyle w:val="178"/>
              <w:spacing w:line="240" w:lineRule="atLeast"/>
              <w:rPr>
                <w:rFonts w:hint="eastAsia" w:hAnsi="宋体"/>
                <w:sz w:val="21"/>
                <w:szCs w:val="21"/>
              </w:rPr>
            </w:pPr>
            <w:r>
              <w:rPr>
                <w:rFonts w:hint="eastAsia" w:hAnsi="宋体"/>
                <w:sz w:val="21"/>
                <w:szCs w:val="21"/>
                <w:lang w:bidi="ar"/>
              </w:rPr>
              <w:t>中国饮食文化概论</w:t>
            </w:r>
          </w:p>
        </w:tc>
        <w:tc>
          <w:tcPr>
            <w:tcW w:w="5942" w:type="dxa"/>
            <w:vAlign w:val="center"/>
          </w:tcPr>
          <w:p w14:paraId="3465A5D0">
            <w:pPr>
              <w:pStyle w:val="178"/>
              <w:spacing w:line="240" w:lineRule="atLeast"/>
              <w:rPr>
                <w:rFonts w:hint="eastAsia" w:hAnsi="宋体"/>
                <w:sz w:val="21"/>
                <w:szCs w:val="21"/>
              </w:rPr>
            </w:pPr>
            <w:r>
              <w:rPr>
                <w:rFonts w:hint="eastAsia" w:hAnsi="宋体"/>
                <w:sz w:val="21"/>
                <w:szCs w:val="21"/>
                <w:lang w:bidi="ar"/>
              </w:rPr>
              <w:t>中华饮食发展史、八大菜系、特色风味、饮食礼仪</w:t>
            </w:r>
          </w:p>
        </w:tc>
      </w:tr>
      <w:tr w14:paraId="15FA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4AF0B0AE">
            <w:pPr>
              <w:pStyle w:val="178"/>
              <w:spacing w:line="240" w:lineRule="atLeast"/>
              <w:rPr>
                <w:rFonts w:hint="eastAsia" w:hAnsi="宋体"/>
                <w:sz w:val="21"/>
                <w:szCs w:val="21"/>
              </w:rPr>
            </w:pPr>
            <w:r>
              <w:rPr>
                <w:rFonts w:hint="eastAsia" w:hAnsi="宋体"/>
                <w:sz w:val="21"/>
                <w:szCs w:val="21"/>
                <w:lang w:bidi="ar"/>
              </w:rPr>
              <w:t>中华茶艺</w:t>
            </w:r>
          </w:p>
        </w:tc>
        <w:tc>
          <w:tcPr>
            <w:tcW w:w="5942" w:type="dxa"/>
            <w:vAlign w:val="center"/>
          </w:tcPr>
          <w:p w14:paraId="0EB6CD9E">
            <w:pPr>
              <w:pStyle w:val="178"/>
              <w:spacing w:line="240" w:lineRule="atLeast"/>
              <w:rPr>
                <w:rFonts w:hint="eastAsia" w:hAnsi="宋体"/>
                <w:sz w:val="21"/>
                <w:szCs w:val="21"/>
              </w:rPr>
            </w:pPr>
            <w:r>
              <w:rPr>
                <w:rFonts w:hint="eastAsia" w:hAnsi="宋体"/>
                <w:sz w:val="21"/>
                <w:szCs w:val="21"/>
                <w:lang w:bidi="ar"/>
              </w:rPr>
              <w:t>茶叶分类、冲泡技艺、茶道礼仪与品鉴</w:t>
            </w:r>
          </w:p>
        </w:tc>
      </w:tr>
      <w:tr w14:paraId="4141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55A47F9A">
            <w:pPr>
              <w:pStyle w:val="178"/>
              <w:spacing w:line="240" w:lineRule="atLeast"/>
              <w:rPr>
                <w:rFonts w:hint="eastAsia" w:hAnsi="宋体"/>
                <w:sz w:val="21"/>
                <w:szCs w:val="21"/>
              </w:rPr>
            </w:pPr>
            <w:r>
              <w:rPr>
                <w:rFonts w:hint="eastAsia" w:hAnsi="宋体"/>
                <w:sz w:val="21"/>
                <w:szCs w:val="21"/>
                <w:lang w:bidi="ar"/>
              </w:rPr>
              <w:t>中华民俗与传统节日</w:t>
            </w:r>
          </w:p>
        </w:tc>
        <w:tc>
          <w:tcPr>
            <w:tcW w:w="5942" w:type="dxa"/>
            <w:vAlign w:val="center"/>
          </w:tcPr>
          <w:p w14:paraId="22C02B16">
            <w:pPr>
              <w:pStyle w:val="178"/>
              <w:spacing w:line="240" w:lineRule="atLeast"/>
              <w:rPr>
                <w:rFonts w:hint="eastAsia" w:hAnsi="宋体"/>
                <w:sz w:val="21"/>
                <w:szCs w:val="21"/>
              </w:rPr>
            </w:pPr>
            <w:r>
              <w:rPr>
                <w:rFonts w:hint="eastAsia" w:hAnsi="宋体"/>
                <w:sz w:val="21"/>
                <w:szCs w:val="21"/>
                <w:lang w:bidi="ar"/>
              </w:rPr>
              <w:t>节气饮食、年节习俗、食俗文化</w:t>
            </w:r>
          </w:p>
        </w:tc>
      </w:tr>
      <w:tr w14:paraId="320A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10884F51">
            <w:pPr>
              <w:pStyle w:val="178"/>
              <w:spacing w:line="240" w:lineRule="atLeast"/>
              <w:rPr>
                <w:rFonts w:hint="eastAsia" w:hAnsi="宋体"/>
                <w:sz w:val="21"/>
                <w:szCs w:val="21"/>
              </w:rPr>
            </w:pPr>
            <w:r>
              <w:rPr>
                <w:rFonts w:hint="eastAsia" w:hAnsi="宋体"/>
                <w:sz w:val="21"/>
                <w:szCs w:val="21"/>
                <w:lang w:bidi="ar"/>
              </w:rPr>
              <w:t>中餐文化海外传播</w:t>
            </w:r>
          </w:p>
        </w:tc>
        <w:tc>
          <w:tcPr>
            <w:tcW w:w="5942" w:type="dxa"/>
            <w:vAlign w:val="center"/>
          </w:tcPr>
          <w:p w14:paraId="58578EB2">
            <w:pPr>
              <w:pStyle w:val="178"/>
              <w:spacing w:line="240" w:lineRule="atLeast"/>
              <w:rPr>
                <w:rFonts w:hint="eastAsia" w:hAnsi="宋体"/>
                <w:sz w:val="21"/>
                <w:szCs w:val="21"/>
              </w:rPr>
            </w:pPr>
            <w:r>
              <w:rPr>
                <w:rFonts w:hint="eastAsia" w:hAnsi="宋体"/>
                <w:sz w:val="21"/>
                <w:szCs w:val="21"/>
                <w:lang w:bidi="ar"/>
              </w:rPr>
              <w:t>中餐全球化历程、跨文化适应、文化品牌建设</w:t>
            </w:r>
          </w:p>
        </w:tc>
      </w:tr>
      <w:tr w14:paraId="78DD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4B52D73F">
            <w:pPr>
              <w:pStyle w:val="178"/>
              <w:spacing w:line="240" w:lineRule="atLeast"/>
              <w:rPr>
                <w:rFonts w:hint="eastAsia" w:hAnsi="宋体"/>
                <w:sz w:val="21"/>
                <w:szCs w:val="21"/>
              </w:rPr>
            </w:pPr>
            <w:r>
              <w:rPr>
                <w:rFonts w:hint="eastAsia" w:hAnsi="宋体"/>
                <w:sz w:val="21"/>
                <w:szCs w:val="21"/>
                <w:lang w:bidi="ar"/>
              </w:rPr>
              <w:t>中餐非物质文化遗产</w:t>
            </w:r>
          </w:p>
        </w:tc>
        <w:tc>
          <w:tcPr>
            <w:tcW w:w="5942" w:type="dxa"/>
            <w:vAlign w:val="center"/>
          </w:tcPr>
          <w:p w14:paraId="44187217">
            <w:pPr>
              <w:pStyle w:val="178"/>
              <w:spacing w:line="240" w:lineRule="atLeast"/>
              <w:rPr>
                <w:rFonts w:hint="eastAsia" w:hAnsi="宋体"/>
                <w:sz w:val="21"/>
                <w:szCs w:val="21"/>
              </w:rPr>
            </w:pPr>
            <w:r>
              <w:rPr>
                <w:rFonts w:hint="eastAsia" w:hAnsi="宋体"/>
                <w:sz w:val="21"/>
                <w:szCs w:val="21"/>
                <w:lang w:bidi="ar"/>
              </w:rPr>
              <w:t>列入非遗的中餐技艺、老字号传承</w:t>
            </w:r>
          </w:p>
        </w:tc>
      </w:tr>
      <w:tr w14:paraId="531D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6B3EFDDF">
            <w:pPr>
              <w:pStyle w:val="178"/>
              <w:spacing w:line="240" w:lineRule="atLeast"/>
              <w:rPr>
                <w:rFonts w:hint="eastAsia" w:hAnsi="宋体"/>
                <w:sz w:val="21"/>
                <w:szCs w:val="21"/>
              </w:rPr>
            </w:pPr>
            <w:r>
              <w:rPr>
                <w:rFonts w:hint="eastAsia" w:hAnsi="宋体"/>
                <w:sz w:val="21"/>
                <w:szCs w:val="21"/>
                <w:lang w:bidi="ar"/>
              </w:rPr>
              <w:t>中国饮食文化概论</w:t>
            </w:r>
          </w:p>
        </w:tc>
        <w:tc>
          <w:tcPr>
            <w:tcW w:w="5942" w:type="dxa"/>
            <w:vAlign w:val="center"/>
          </w:tcPr>
          <w:p w14:paraId="6A9E39D6">
            <w:pPr>
              <w:pStyle w:val="178"/>
              <w:spacing w:line="240" w:lineRule="atLeast"/>
              <w:rPr>
                <w:rFonts w:hint="eastAsia" w:hAnsi="宋体"/>
                <w:sz w:val="21"/>
                <w:szCs w:val="21"/>
              </w:rPr>
            </w:pPr>
            <w:r>
              <w:rPr>
                <w:rFonts w:hint="eastAsia" w:hAnsi="宋体"/>
                <w:sz w:val="21"/>
                <w:szCs w:val="21"/>
                <w:lang w:bidi="ar"/>
              </w:rPr>
              <w:t>中华饮食发展史、八大菜系、特色风味、饮食礼仪</w:t>
            </w:r>
          </w:p>
        </w:tc>
      </w:tr>
    </w:tbl>
    <w:p w14:paraId="378B8D6A">
      <w:pPr>
        <w:pStyle w:val="211"/>
      </w:pPr>
      <w:r>
        <w:rPr>
          <w:rFonts w:hint="eastAsia"/>
        </w:rPr>
        <w:t>语言与沟通模块占总课时约5%。</w:t>
      </w:r>
    </w:p>
    <w:p w14:paraId="7FBCFB30">
      <w:pPr>
        <w:pStyle w:val="211"/>
      </w:pPr>
      <w:r>
        <w:rPr>
          <w:rFonts w:hint="eastAsia"/>
        </w:rPr>
        <w:t>语言与沟通模块强化跨文化沟通能力及行业中文应用能力。</w:t>
      </w:r>
    </w:p>
    <w:p w14:paraId="0FFD5EEB">
      <w:pPr>
        <w:pStyle w:val="211"/>
      </w:pPr>
      <w:r>
        <w:rPr>
          <w:rFonts w:hint="eastAsia"/>
        </w:rPr>
        <w:t>语言与沟通模块课程主要内容见下表A.4。</w:t>
      </w:r>
    </w:p>
    <w:p w14:paraId="062F283A">
      <w:pPr>
        <w:pStyle w:val="211"/>
        <w:numPr>
          <w:ilvl w:val="0"/>
          <w:numId w:val="0"/>
        </w:numPr>
      </w:pPr>
    </w:p>
    <w:p w14:paraId="5A26FE27">
      <w:pPr>
        <w:pStyle w:val="77"/>
        <w:spacing w:before="120" w:after="120"/>
      </w:pPr>
      <w:r>
        <w:rPr>
          <w:rFonts w:hint="eastAsia"/>
        </w:rPr>
        <w:t>语言与沟通模块课程主要内容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3392"/>
        <w:gridCol w:w="5942"/>
      </w:tblGrid>
      <w:tr w14:paraId="102E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392" w:type="dxa"/>
          </w:tcPr>
          <w:p w14:paraId="24F10A24">
            <w:pPr>
              <w:pStyle w:val="178"/>
              <w:rPr>
                <w:rFonts w:hint="eastAsia" w:hAnsi="宋体" w:cs="宋体"/>
                <w:sz w:val="21"/>
                <w:szCs w:val="21"/>
              </w:rPr>
            </w:pPr>
            <w:r>
              <w:rPr>
                <w:rFonts w:hint="eastAsia" w:hAnsi="宋体" w:cs="宋体"/>
                <w:sz w:val="21"/>
                <w:szCs w:val="21"/>
              </w:rPr>
              <w:t>课程名称（示例）</w:t>
            </w:r>
          </w:p>
        </w:tc>
        <w:tc>
          <w:tcPr>
            <w:tcW w:w="5942" w:type="dxa"/>
          </w:tcPr>
          <w:p w14:paraId="4E1ED71A">
            <w:pPr>
              <w:pStyle w:val="178"/>
              <w:rPr>
                <w:rFonts w:hint="eastAsia" w:hAnsi="宋体" w:cs="宋体"/>
                <w:sz w:val="21"/>
                <w:szCs w:val="21"/>
              </w:rPr>
            </w:pPr>
            <w:r>
              <w:rPr>
                <w:rFonts w:hint="eastAsia" w:hAnsi="宋体" w:cs="宋体"/>
                <w:sz w:val="21"/>
                <w:szCs w:val="21"/>
              </w:rPr>
              <w:t>主要教学内容</w:t>
            </w:r>
          </w:p>
        </w:tc>
      </w:tr>
      <w:tr w14:paraId="0A9A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706D74B5">
            <w:pPr>
              <w:pStyle w:val="178"/>
              <w:spacing w:line="240" w:lineRule="atLeast"/>
              <w:rPr>
                <w:rFonts w:hint="eastAsia" w:hAnsi="宋体" w:cs="宋体"/>
                <w:sz w:val="21"/>
                <w:szCs w:val="21"/>
              </w:rPr>
            </w:pPr>
            <w:r>
              <w:rPr>
                <w:rFonts w:hint="eastAsia" w:hAnsi="宋体" w:cs="宋体"/>
                <w:sz w:val="21"/>
                <w:szCs w:val="21"/>
                <w:lang w:bidi="ar"/>
              </w:rPr>
              <w:t>餐饮专业汉语</w:t>
            </w:r>
          </w:p>
        </w:tc>
        <w:tc>
          <w:tcPr>
            <w:tcW w:w="5942" w:type="dxa"/>
            <w:vAlign w:val="center"/>
          </w:tcPr>
          <w:p w14:paraId="32232DA1">
            <w:pPr>
              <w:pStyle w:val="178"/>
              <w:spacing w:line="240" w:lineRule="atLeast"/>
              <w:rPr>
                <w:rFonts w:hint="eastAsia" w:hAnsi="宋体" w:cs="宋体"/>
                <w:sz w:val="21"/>
                <w:szCs w:val="21"/>
              </w:rPr>
            </w:pPr>
            <w:r>
              <w:rPr>
                <w:rFonts w:hint="eastAsia" w:hAnsi="宋体" w:cs="宋体"/>
                <w:sz w:val="21"/>
                <w:szCs w:val="21"/>
                <w:lang w:bidi="ar"/>
              </w:rPr>
              <w:t>烹饪术语、食材名称、厨房常用语、服务用语</w:t>
            </w:r>
          </w:p>
        </w:tc>
      </w:tr>
      <w:tr w14:paraId="7CA7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5B8765B0">
            <w:pPr>
              <w:pStyle w:val="178"/>
              <w:spacing w:line="240" w:lineRule="atLeast"/>
              <w:rPr>
                <w:rFonts w:hint="eastAsia" w:hAnsi="宋体" w:cs="宋体"/>
                <w:sz w:val="21"/>
                <w:szCs w:val="21"/>
              </w:rPr>
            </w:pPr>
            <w:r>
              <w:rPr>
                <w:rFonts w:hint="eastAsia" w:hAnsi="宋体" w:cs="宋体"/>
                <w:sz w:val="21"/>
                <w:szCs w:val="21"/>
                <w:lang w:bidi="ar"/>
              </w:rPr>
              <w:t>跨文化交际</w:t>
            </w:r>
          </w:p>
        </w:tc>
        <w:tc>
          <w:tcPr>
            <w:tcW w:w="5942" w:type="dxa"/>
            <w:vAlign w:val="center"/>
          </w:tcPr>
          <w:p w14:paraId="745504D9">
            <w:pPr>
              <w:pStyle w:val="178"/>
              <w:spacing w:line="240" w:lineRule="atLeast"/>
              <w:rPr>
                <w:rFonts w:hint="eastAsia" w:hAnsi="宋体" w:cs="宋体"/>
                <w:sz w:val="21"/>
                <w:szCs w:val="21"/>
              </w:rPr>
            </w:pPr>
            <w:r>
              <w:rPr>
                <w:rFonts w:hint="eastAsia" w:hAnsi="宋体" w:cs="宋体"/>
                <w:sz w:val="21"/>
                <w:szCs w:val="21"/>
                <w:lang w:bidi="ar"/>
              </w:rPr>
              <w:t>文化差异识别、国际沟通技巧、涉外服务礼仪</w:t>
            </w:r>
          </w:p>
        </w:tc>
      </w:tr>
      <w:tr w14:paraId="07B2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3392" w:type="dxa"/>
            <w:vAlign w:val="center"/>
          </w:tcPr>
          <w:p w14:paraId="5306C038">
            <w:pPr>
              <w:pStyle w:val="178"/>
              <w:spacing w:line="240" w:lineRule="atLeast"/>
              <w:rPr>
                <w:rFonts w:hint="eastAsia" w:hAnsi="宋体" w:cs="宋体"/>
                <w:sz w:val="21"/>
                <w:szCs w:val="21"/>
              </w:rPr>
            </w:pPr>
            <w:r>
              <w:rPr>
                <w:rFonts w:hint="eastAsia" w:hAnsi="宋体" w:cs="宋体"/>
                <w:sz w:val="21"/>
                <w:szCs w:val="21"/>
                <w:lang w:bidi="ar"/>
              </w:rPr>
              <w:t>英语（或所在国语言）餐饮服务</w:t>
            </w:r>
          </w:p>
        </w:tc>
        <w:tc>
          <w:tcPr>
            <w:tcW w:w="5942" w:type="dxa"/>
            <w:vAlign w:val="center"/>
          </w:tcPr>
          <w:p w14:paraId="45090FDE">
            <w:pPr>
              <w:pStyle w:val="178"/>
              <w:spacing w:line="240" w:lineRule="atLeast"/>
              <w:rPr>
                <w:rFonts w:hint="eastAsia" w:hAnsi="宋体" w:cs="宋体"/>
                <w:sz w:val="21"/>
                <w:szCs w:val="21"/>
              </w:rPr>
            </w:pPr>
            <w:r>
              <w:rPr>
                <w:rFonts w:hint="eastAsia" w:hAnsi="宋体" w:cs="宋体"/>
                <w:sz w:val="21"/>
                <w:szCs w:val="21"/>
                <w:lang w:bidi="ar"/>
              </w:rPr>
              <w:t>双语菜单翻译、外宾接待、投诉处理</w:t>
            </w:r>
          </w:p>
        </w:tc>
      </w:tr>
    </w:tbl>
    <w:p w14:paraId="668770F8">
      <w:pPr>
        <w:pStyle w:val="56"/>
        <w:ind w:firstLine="420"/>
        <w:sectPr>
          <w:pgSz w:w="11906" w:h="16838"/>
          <w:pgMar w:top="1928" w:right="1134" w:bottom="1134" w:left="1134" w:header="1418" w:footer="1134" w:gutter="284"/>
          <w:cols w:space="425" w:num="1"/>
          <w:formProt w:val="0"/>
          <w:docGrid w:linePitch="312" w:charSpace="0"/>
        </w:sectPr>
      </w:pPr>
    </w:p>
    <w:p w14:paraId="7505DA5E">
      <w:pPr>
        <w:pStyle w:val="198"/>
        <w:rPr>
          <w:rFonts w:hint="eastAsia"/>
          <w:vanish w:val="0"/>
        </w:rPr>
      </w:pPr>
    </w:p>
    <w:p w14:paraId="7C974726">
      <w:pPr>
        <w:pStyle w:val="199"/>
        <w:rPr>
          <w:vanish w:val="0"/>
        </w:rPr>
      </w:pPr>
    </w:p>
    <w:p w14:paraId="52917883">
      <w:pPr>
        <w:pStyle w:val="76"/>
        <w:spacing w:after="120"/>
      </w:pPr>
      <w:r>
        <w:br w:type="textWrapping"/>
      </w:r>
      <w:r>
        <w:rPr>
          <w:rFonts w:hint="eastAsia"/>
        </w:rPr>
        <w:t>（资料性）</w:t>
      </w:r>
      <w:r>
        <w:br w:type="textWrapping"/>
      </w:r>
      <w:r>
        <w:rPr>
          <w:rFonts w:hint="eastAsia"/>
        </w:rPr>
        <w:t>“国际中餐学院”质量评价指标</w:t>
      </w:r>
    </w:p>
    <w:p w14:paraId="31C90F3C">
      <w:pPr>
        <w:pStyle w:val="211"/>
      </w:pPr>
      <w:r>
        <w:rPr>
          <w:rFonts w:hint="eastAsia"/>
        </w:rPr>
        <w:t>“国际中餐学院”质量评价指标包含办学条件指标、师资队伍指标、教学过程指标、培养成果指标和社会影响与特色创新指标，</w:t>
      </w:r>
      <w:r>
        <w:rPr>
          <w:rFonts w:hint="eastAsia"/>
          <w:lang w:eastAsia="zh-CN"/>
        </w:rPr>
        <w:t>详见</w:t>
      </w:r>
      <w:r>
        <w:rPr>
          <w:rFonts w:hint="eastAsia"/>
        </w:rPr>
        <w:t>表B.1-B.5。</w:t>
      </w:r>
    </w:p>
    <w:p w14:paraId="095A3BE1">
      <w:pPr>
        <w:pStyle w:val="211"/>
      </w:pPr>
      <w:r>
        <w:rPr>
          <w:rFonts w:hint="eastAsia"/>
        </w:rPr>
        <w:t>办学条件指标权重为25%，师资队伍指标权重为20%、教学过程指标权重为20%、培养成果指标权重为20%，社会影响与特色创新指标权重为15%。</w:t>
      </w:r>
    </w:p>
    <w:p w14:paraId="65B7DA5D">
      <w:pPr>
        <w:pStyle w:val="211"/>
      </w:pPr>
      <w:r>
        <w:rPr>
          <w:rFonts w:hint="eastAsia"/>
        </w:rPr>
        <w:t>各一级指标权重合计100%，二级指标的具体评分标准可由评估机构或学院依据实际细化。</w:t>
      </w:r>
    </w:p>
    <w:p w14:paraId="59410164">
      <w:pPr>
        <w:pStyle w:val="211"/>
      </w:pPr>
      <w:r>
        <w:rPr>
          <w:rFonts w:hint="eastAsia"/>
        </w:rPr>
        <w:t>评价可采用定量与定性相结合的方式，对每一项二级指标赋予分值（如0-10分），汇总后得出总分。</w:t>
      </w:r>
    </w:p>
    <w:p w14:paraId="2DDF50D7">
      <w:pPr>
        <w:pStyle w:val="211"/>
      </w:pPr>
      <w:r>
        <w:rPr>
          <w:rFonts w:hint="eastAsia"/>
        </w:rPr>
        <w:t>建议每年开展一次内部自评，每2～3年进行一次外部评估（中期检查或终期验收）。</w:t>
      </w:r>
    </w:p>
    <w:p w14:paraId="6B2D1714">
      <w:pPr>
        <w:pStyle w:val="211"/>
      </w:pPr>
      <w:r>
        <w:rPr>
          <w:rFonts w:hint="eastAsia"/>
        </w:rPr>
        <w:t>评价结果应作为学院持续改进的重要依据，针对薄弱环节制定整改措施并跟踪落实。</w:t>
      </w:r>
    </w:p>
    <w:p w14:paraId="3BDB4557">
      <w:pPr>
        <w:pStyle w:val="77"/>
        <w:spacing w:before="120" w:after="120"/>
      </w:pPr>
      <w:r>
        <w:rPr>
          <w:rFonts w:hint="eastAsia"/>
        </w:rPr>
        <w:t>办学条件指标</w:t>
      </w:r>
    </w:p>
    <w:tbl>
      <w:tblPr>
        <w:tblStyle w:val="26"/>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02"/>
        <w:gridCol w:w="8178"/>
      </w:tblGrid>
      <w:tr w14:paraId="5D4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776" w:type="pct"/>
            <w:tcBorders>
              <w:tl2br w:val="nil"/>
            </w:tcBorders>
            <w:shd w:val="clear" w:color="auto" w:fill="FFFFFF"/>
            <w:tcMar>
              <w:top w:w="150" w:type="dxa"/>
              <w:left w:w="0" w:type="dxa"/>
              <w:bottom w:w="150" w:type="dxa"/>
              <w:right w:w="240" w:type="dxa"/>
            </w:tcMar>
            <w:vAlign w:val="center"/>
          </w:tcPr>
          <w:p w14:paraId="65FFE3CF">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二级指标</w:t>
            </w:r>
          </w:p>
        </w:tc>
        <w:tc>
          <w:tcPr>
            <w:tcW w:w="4224" w:type="pct"/>
            <w:shd w:val="clear" w:color="auto" w:fill="FFFFFF"/>
            <w:tcMar>
              <w:top w:w="150" w:type="dxa"/>
              <w:left w:w="240" w:type="dxa"/>
              <w:bottom w:w="150" w:type="dxa"/>
              <w:right w:w="240" w:type="dxa"/>
            </w:tcMar>
            <w:vAlign w:val="center"/>
          </w:tcPr>
          <w:p w14:paraId="24D367CC">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评价要点</w:t>
            </w:r>
          </w:p>
        </w:tc>
      </w:tr>
      <w:tr w14:paraId="11A2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76" w:type="pct"/>
            <w:shd w:val="clear" w:color="auto" w:fill="FFFFFF"/>
            <w:tcMar>
              <w:top w:w="150" w:type="dxa"/>
              <w:left w:w="0" w:type="dxa"/>
              <w:bottom w:w="150" w:type="dxa"/>
              <w:right w:w="240" w:type="dxa"/>
            </w:tcMar>
            <w:vAlign w:val="center"/>
          </w:tcPr>
          <w:p w14:paraId="40EE84D0">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基础设施</w:t>
            </w:r>
          </w:p>
        </w:tc>
        <w:tc>
          <w:tcPr>
            <w:tcW w:w="4224" w:type="pct"/>
            <w:shd w:val="clear" w:color="auto" w:fill="FFFFFF"/>
            <w:tcMar>
              <w:top w:w="150" w:type="dxa"/>
              <w:left w:w="240" w:type="dxa"/>
              <w:bottom w:w="150" w:type="dxa"/>
              <w:right w:w="0" w:type="dxa"/>
            </w:tcMar>
            <w:vAlign w:val="center"/>
          </w:tcPr>
          <w:p w14:paraId="1969F9DB">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教学厨房、实训室数量与功能符合标准要求；设备先进、工位充足；文化展示中心面积及设施配备；信息化平台运行稳定</w:t>
            </w:r>
          </w:p>
        </w:tc>
      </w:tr>
      <w:tr w14:paraId="3356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76" w:type="pct"/>
            <w:shd w:val="clear" w:color="auto" w:fill="FFFFFF"/>
            <w:tcMar>
              <w:top w:w="150" w:type="dxa"/>
              <w:left w:w="0" w:type="dxa"/>
              <w:bottom w:w="150" w:type="dxa"/>
              <w:right w:w="240" w:type="dxa"/>
            </w:tcMar>
            <w:vAlign w:val="center"/>
          </w:tcPr>
          <w:p w14:paraId="33A9E517">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经费保障</w:t>
            </w:r>
          </w:p>
        </w:tc>
        <w:tc>
          <w:tcPr>
            <w:tcW w:w="4224" w:type="pct"/>
            <w:shd w:val="clear" w:color="auto" w:fill="FFFFFF"/>
            <w:tcMar>
              <w:top w:w="150" w:type="dxa"/>
              <w:left w:w="240" w:type="dxa"/>
              <w:bottom w:w="150" w:type="dxa"/>
              <w:right w:w="0" w:type="dxa"/>
            </w:tcMar>
            <w:vAlign w:val="center"/>
          </w:tcPr>
          <w:p w14:paraId="17C673D5">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年度经费总额及稳定性；生均经费充足；经费使用合规、透明</w:t>
            </w:r>
          </w:p>
        </w:tc>
      </w:tr>
      <w:tr w14:paraId="1876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76" w:type="pct"/>
            <w:shd w:val="clear" w:color="auto" w:fill="FFFFFF"/>
            <w:tcMar>
              <w:top w:w="150" w:type="dxa"/>
              <w:left w:w="0" w:type="dxa"/>
              <w:bottom w:w="150" w:type="dxa"/>
              <w:right w:w="240" w:type="dxa"/>
            </w:tcMar>
            <w:vAlign w:val="center"/>
          </w:tcPr>
          <w:p w14:paraId="15070ECD">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合作平台</w:t>
            </w:r>
          </w:p>
        </w:tc>
        <w:tc>
          <w:tcPr>
            <w:tcW w:w="4224" w:type="pct"/>
            <w:shd w:val="clear" w:color="auto" w:fill="FFFFFF"/>
            <w:tcMar>
              <w:top w:w="150" w:type="dxa"/>
              <w:left w:w="240" w:type="dxa"/>
              <w:bottom w:w="150" w:type="dxa"/>
              <w:right w:w="0" w:type="dxa"/>
            </w:tcMar>
            <w:vAlign w:val="center"/>
          </w:tcPr>
          <w:p w14:paraId="4ACF943B">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与至少1家知名餐饮企业深度合作（共建基地、联合开发课程等）；利用“鲁班工坊”等平台资源成效</w:t>
            </w:r>
          </w:p>
        </w:tc>
      </w:tr>
      <w:tr w14:paraId="0233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76" w:type="pct"/>
            <w:shd w:val="clear" w:color="auto" w:fill="FFFFFF"/>
            <w:tcMar>
              <w:top w:w="150" w:type="dxa"/>
              <w:left w:w="0" w:type="dxa"/>
              <w:bottom w:w="150" w:type="dxa"/>
              <w:right w:w="240" w:type="dxa"/>
            </w:tcMar>
            <w:vAlign w:val="center"/>
          </w:tcPr>
          <w:p w14:paraId="141BE8FE">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办学场所合规性</w:t>
            </w:r>
          </w:p>
        </w:tc>
        <w:tc>
          <w:tcPr>
            <w:tcW w:w="4224" w:type="pct"/>
            <w:shd w:val="clear" w:color="auto" w:fill="FFFFFF"/>
            <w:tcMar>
              <w:top w:w="150" w:type="dxa"/>
              <w:left w:w="240" w:type="dxa"/>
              <w:bottom w:w="150" w:type="dxa"/>
              <w:right w:w="0" w:type="dxa"/>
            </w:tcMar>
            <w:vAlign w:val="center"/>
          </w:tcPr>
          <w:p w14:paraId="0DC60ED3">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符合所在国安全、卫生、环保、消防等法律法规；中餐实训场所符合GB 14934</w:t>
            </w:r>
          </w:p>
        </w:tc>
      </w:tr>
    </w:tbl>
    <w:p w14:paraId="0A877C25">
      <w:pPr>
        <w:pStyle w:val="77"/>
        <w:spacing w:before="120" w:after="120"/>
      </w:pPr>
      <w:r>
        <w:rPr>
          <w:rFonts w:hint="eastAsia"/>
        </w:rPr>
        <w:t>师资队伍指标</w:t>
      </w:r>
    </w:p>
    <w:tbl>
      <w:tblPr>
        <w:tblStyle w:val="26"/>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42"/>
        <w:gridCol w:w="8167"/>
      </w:tblGrid>
      <w:tr w14:paraId="66A8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Borders>
              <w:tl2br w:val="nil"/>
            </w:tcBorders>
            <w:shd w:val="clear" w:color="auto" w:fill="FFFFFF"/>
            <w:tcMar>
              <w:top w:w="150" w:type="dxa"/>
              <w:left w:w="0" w:type="dxa"/>
              <w:bottom w:w="150" w:type="dxa"/>
              <w:right w:w="240" w:type="dxa"/>
            </w:tcMar>
            <w:vAlign w:val="center"/>
          </w:tcPr>
          <w:p w14:paraId="0AB24EAB">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二级指标</w:t>
            </w:r>
          </w:p>
        </w:tc>
        <w:tc>
          <w:tcPr>
            <w:tcW w:w="0" w:type="auto"/>
            <w:shd w:val="clear" w:color="auto" w:fill="FFFFFF"/>
            <w:tcMar>
              <w:top w:w="150" w:type="dxa"/>
              <w:left w:w="240" w:type="dxa"/>
              <w:bottom w:w="150" w:type="dxa"/>
              <w:right w:w="240" w:type="dxa"/>
            </w:tcMar>
            <w:vAlign w:val="center"/>
          </w:tcPr>
          <w:p w14:paraId="7580BB91">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评价要点</w:t>
            </w:r>
          </w:p>
        </w:tc>
      </w:tr>
      <w:tr w14:paraId="7C40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F71239B">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团队结构</w:t>
            </w:r>
          </w:p>
        </w:tc>
        <w:tc>
          <w:tcPr>
            <w:tcW w:w="0" w:type="auto"/>
            <w:shd w:val="clear" w:color="auto" w:fill="FFFFFF"/>
            <w:tcMar>
              <w:top w:w="150" w:type="dxa"/>
              <w:left w:w="240" w:type="dxa"/>
              <w:bottom w:w="150" w:type="dxa"/>
              <w:right w:w="0" w:type="dxa"/>
            </w:tcMar>
            <w:vAlign w:val="center"/>
          </w:tcPr>
          <w:p w14:paraId="626FF614">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“混编师资团队”（国内派出教师、当地聘用教师、企业专家）比例合理；专兼职教师配比</w:t>
            </w:r>
          </w:p>
        </w:tc>
      </w:tr>
      <w:tr w14:paraId="561D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B8B1F0F">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核心教师素质</w:t>
            </w:r>
          </w:p>
        </w:tc>
        <w:tc>
          <w:tcPr>
            <w:tcW w:w="0" w:type="auto"/>
            <w:shd w:val="clear" w:color="auto" w:fill="FFFFFF"/>
            <w:tcMar>
              <w:top w:w="150" w:type="dxa"/>
              <w:left w:w="240" w:type="dxa"/>
              <w:bottom w:w="150" w:type="dxa"/>
              <w:right w:w="0" w:type="dxa"/>
            </w:tcMar>
            <w:vAlign w:val="center"/>
          </w:tcPr>
          <w:p w14:paraId="333367AE">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“双师型”教师占比；双语或跨文化沟通能力教师占比</w:t>
            </w:r>
          </w:p>
        </w:tc>
      </w:tr>
      <w:tr w14:paraId="252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B4F845B">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企业专家参与</w:t>
            </w:r>
          </w:p>
        </w:tc>
        <w:tc>
          <w:tcPr>
            <w:tcW w:w="0" w:type="auto"/>
            <w:shd w:val="clear" w:color="auto" w:fill="FFFFFF"/>
            <w:tcMar>
              <w:top w:w="150" w:type="dxa"/>
              <w:left w:w="240" w:type="dxa"/>
              <w:bottom w:w="150" w:type="dxa"/>
              <w:right w:w="0" w:type="dxa"/>
            </w:tcMar>
            <w:vAlign w:val="center"/>
          </w:tcPr>
          <w:p w14:paraId="749577DD">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企业专家担任实践教学指导或技术顾问的频次与质量</w:t>
            </w:r>
          </w:p>
        </w:tc>
      </w:tr>
      <w:tr w14:paraId="6536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CB2775D">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海外师资</w:t>
            </w:r>
          </w:p>
        </w:tc>
        <w:tc>
          <w:tcPr>
            <w:tcW w:w="0" w:type="auto"/>
            <w:shd w:val="clear" w:color="auto" w:fill="FFFFFF"/>
            <w:tcMar>
              <w:top w:w="150" w:type="dxa"/>
              <w:left w:w="240" w:type="dxa"/>
              <w:bottom w:w="150" w:type="dxa"/>
              <w:right w:w="0" w:type="dxa"/>
            </w:tcMar>
            <w:vAlign w:val="center"/>
          </w:tcPr>
          <w:p w14:paraId="659A22D1">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聘请海外中餐名厨、大师、教育专家的数量及实际贡献</w:t>
            </w:r>
          </w:p>
        </w:tc>
      </w:tr>
      <w:tr w14:paraId="64BA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D6AC02D">
            <w:pPr>
              <w:widowControl/>
              <w:spacing w:line="240" w:lineRule="exact"/>
              <w:jc w:val="center"/>
              <w:rPr>
                <w:rFonts w:hint="eastAsia" w:ascii="宋体" w:hAnsi="宋体" w:cs="宋体"/>
                <w:bCs/>
                <w:color w:val="000000"/>
              </w:rPr>
            </w:pPr>
            <w:r>
              <w:rPr>
                <w:rFonts w:hint="eastAsia" w:ascii="宋体" w:hAnsi="宋体" w:cs="宋体"/>
                <w:bCs/>
                <w:color w:val="000000"/>
                <w:kern w:val="0"/>
                <w:lang w:bidi="ar"/>
              </w:rPr>
              <w:t>师资培养</w:t>
            </w:r>
          </w:p>
        </w:tc>
        <w:tc>
          <w:tcPr>
            <w:tcW w:w="0" w:type="auto"/>
            <w:shd w:val="clear" w:color="auto" w:fill="FFFFFF"/>
            <w:tcMar>
              <w:top w:w="150" w:type="dxa"/>
              <w:left w:w="240" w:type="dxa"/>
              <w:bottom w:w="150" w:type="dxa"/>
              <w:right w:w="0" w:type="dxa"/>
            </w:tcMar>
            <w:vAlign w:val="center"/>
          </w:tcPr>
          <w:p w14:paraId="035B683A">
            <w:pPr>
              <w:widowControl/>
              <w:spacing w:line="240" w:lineRule="exact"/>
              <w:jc w:val="left"/>
              <w:rPr>
                <w:rFonts w:hint="eastAsia" w:ascii="宋体" w:hAnsi="宋体" w:cs="宋体"/>
                <w:bCs/>
                <w:color w:val="000000"/>
              </w:rPr>
            </w:pPr>
            <w:r>
              <w:rPr>
                <w:rFonts w:hint="eastAsia" w:ascii="宋体" w:hAnsi="宋体" w:cs="宋体"/>
                <w:bCs/>
                <w:color w:val="000000"/>
                <w:kern w:val="0"/>
                <w:lang w:bidi="ar"/>
              </w:rPr>
              <w:t>年度师资培训次数及覆盖面；教师赴海外研修、企业实践经历</w:t>
            </w:r>
          </w:p>
        </w:tc>
      </w:tr>
    </w:tbl>
    <w:p w14:paraId="53579F08">
      <w:pPr>
        <w:pStyle w:val="56"/>
        <w:ind w:firstLine="420"/>
      </w:pPr>
    </w:p>
    <w:p w14:paraId="637CE9D2">
      <w:pPr>
        <w:pStyle w:val="56"/>
        <w:ind w:firstLine="420"/>
      </w:pPr>
    </w:p>
    <w:p w14:paraId="4A22F70E">
      <w:pPr>
        <w:pStyle w:val="77"/>
        <w:spacing w:before="120" w:after="120"/>
      </w:pPr>
      <w:r>
        <w:rPr>
          <w:rFonts w:hint="eastAsia"/>
        </w:rPr>
        <w:t>教学过程指标</w:t>
      </w:r>
    </w:p>
    <w:tbl>
      <w:tblPr>
        <w:tblStyle w:val="26"/>
        <w:tblW w:w="5078"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01"/>
        <w:gridCol w:w="8148"/>
      </w:tblGrid>
      <w:tr w14:paraId="52D4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821" w:type="pct"/>
            <w:tcBorders>
              <w:tl2br w:val="nil"/>
            </w:tcBorders>
            <w:shd w:val="clear" w:color="auto" w:fill="FFFFFF"/>
            <w:tcMar>
              <w:top w:w="150" w:type="dxa"/>
              <w:left w:w="0" w:type="dxa"/>
              <w:bottom w:w="150" w:type="dxa"/>
              <w:right w:w="240" w:type="dxa"/>
            </w:tcMar>
            <w:vAlign w:val="center"/>
          </w:tcPr>
          <w:p w14:paraId="3A6C9ECA">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二级指标</w:t>
            </w:r>
          </w:p>
        </w:tc>
        <w:tc>
          <w:tcPr>
            <w:tcW w:w="4179" w:type="pct"/>
            <w:shd w:val="clear" w:color="auto" w:fill="FFFFFF"/>
            <w:tcMar>
              <w:top w:w="150" w:type="dxa"/>
              <w:left w:w="240" w:type="dxa"/>
              <w:bottom w:w="150" w:type="dxa"/>
              <w:right w:w="240" w:type="dxa"/>
            </w:tcMar>
            <w:vAlign w:val="center"/>
          </w:tcPr>
          <w:p w14:paraId="741488E4">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评价要点</w:t>
            </w:r>
          </w:p>
        </w:tc>
      </w:tr>
      <w:tr w14:paraId="755E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E4D8058">
            <w:pPr>
              <w:widowControl/>
              <w:spacing w:line="240" w:lineRule="exact"/>
              <w:jc w:val="center"/>
              <w:rPr>
                <w:rFonts w:hint="eastAsia" w:ascii="宋体" w:hAnsi="宋体" w:cs="宋体"/>
                <w:color w:val="000000"/>
              </w:rPr>
            </w:pPr>
            <w:r>
              <w:rPr>
                <w:rFonts w:hint="eastAsia" w:ascii="宋体" w:hAnsi="宋体" w:cs="宋体"/>
                <w:color w:val="000000"/>
                <w:kern w:val="0"/>
                <w:lang w:bidi="ar"/>
              </w:rPr>
              <w:t>课程设置</w:t>
            </w:r>
          </w:p>
        </w:tc>
        <w:tc>
          <w:tcPr>
            <w:tcW w:w="0" w:type="auto"/>
            <w:shd w:val="clear" w:color="auto" w:fill="FFFFFF"/>
            <w:tcMar>
              <w:top w:w="150" w:type="dxa"/>
              <w:left w:w="240" w:type="dxa"/>
              <w:bottom w:w="150" w:type="dxa"/>
              <w:right w:w="0" w:type="dxa"/>
            </w:tcMar>
            <w:vAlign w:val="center"/>
          </w:tcPr>
          <w:p w14:paraId="3E419785">
            <w:pPr>
              <w:widowControl/>
              <w:spacing w:line="240" w:lineRule="exact"/>
              <w:jc w:val="left"/>
              <w:rPr>
                <w:rFonts w:hint="eastAsia" w:ascii="宋体" w:hAnsi="宋体" w:cs="宋体"/>
                <w:color w:val="000000"/>
              </w:rPr>
            </w:pPr>
            <w:r>
              <w:rPr>
                <w:rFonts w:hint="eastAsia" w:ascii="宋体" w:hAnsi="宋体" w:cs="宋体"/>
                <w:color w:val="000000"/>
                <w:kern w:val="0"/>
                <w:lang w:bidi="ar"/>
              </w:rPr>
              <w:t>模块化课程体系完整（中餐技艺、餐饮管理、中国文化、语言与沟通）；课程内容体现标准化与本土化结合</w:t>
            </w:r>
          </w:p>
        </w:tc>
      </w:tr>
      <w:tr w14:paraId="18A2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ACE4564">
            <w:pPr>
              <w:widowControl/>
              <w:spacing w:line="240" w:lineRule="exact"/>
              <w:jc w:val="center"/>
              <w:rPr>
                <w:rFonts w:hint="eastAsia" w:ascii="宋体" w:hAnsi="宋体" w:cs="宋体"/>
                <w:color w:val="000000"/>
              </w:rPr>
            </w:pPr>
            <w:r>
              <w:rPr>
                <w:rFonts w:hint="eastAsia" w:ascii="宋体" w:hAnsi="宋体" w:cs="宋体"/>
                <w:color w:val="000000"/>
                <w:kern w:val="0"/>
                <w:lang w:bidi="ar"/>
              </w:rPr>
              <w:t>教学方法</w:t>
            </w:r>
          </w:p>
        </w:tc>
        <w:tc>
          <w:tcPr>
            <w:tcW w:w="0" w:type="auto"/>
            <w:shd w:val="clear" w:color="auto" w:fill="FFFFFF"/>
            <w:tcMar>
              <w:top w:w="150" w:type="dxa"/>
              <w:left w:w="240" w:type="dxa"/>
              <w:bottom w:w="150" w:type="dxa"/>
              <w:right w:w="0" w:type="dxa"/>
            </w:tcMar>
            <w:vAlign w:val="center"/>
          </w:tcPr>
          <w:p w14:paraId="6648F9BF">
            <w:pPr>
              <w:widowControl/>
              <w:spacing w:line="240" w:lineRule="exact"/>
              <w:jc w:val="left"/>
              <w:rPr>
                <w:rFonts w:hint="eastAsia" w:ascii="宋体" w:hAnsi="宋体" w:cs="宋体"/>
                <w:color w:val="000000"/>
              </w:rPr>
            </w:pPr>
            <w:r>
              <w:rPr>
                <w:rFonts w:hint="eastAsia" w:ascii="宋体" w:hAnsi="宋体" w:cs="宋体"/>
                <w:color w:val="000000"/>
                <w:kern w:val="0"/>
                <w:lang w:bidi="ar"/>
              </w:rPr>
              <w:t>项目式、情境式教学应用比例；线上线下混合式教学应用</w:t>
            </w:r>
          </w:p>
        </w:tc>
      </w:tr>
      <w:tr w14:paraId="658B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C086186">
            <w:pPr>
              <w:widowControl/>
              <w:spacing w:line="240" w:lineRule="exact"/>
              <w:jc w:val="center"/>
              <w:rPr>
                <w:rFonts w:hint="eastAsia" w:ascii="宋体" w:hAnsi="宋体" w:cs="宋体"/>
                <w:color w:val="000000"/>
              </w:rPr>
            </w:pPr>
            <w:r>
              <w:rPr>
                <w:rFonts w:hint="eastAsia" w:ascii="宋体" w:hAnsi="宋体" w:cs="宋体"/>
                <w:color w:val="000000"/>
                <w:kern w:val="0"/>
                <w:lang w:bidi="ar"/>
              </w:rPr>
              <w:t>实践教学</w:t>
            </w:r>
          </w:p>
        </w:tc>
        <w:tc>
          <w:tcPr>
            <w:tcW w:w="0" w:type="auto"/>
            <w:shd w:val="clear" w:color="auto" w:fill="FFFFFF"/>
            <w:tcMar>
              <w:top w:w="150" w:type="dxa"/>
              <w:left w:w="240" w:type="dxa"/>
              <w:bottom w:w="150" w:type="dxa"/>
              <w:right w:w="0" w:type="dxa"/>
            </w:tcMar>
            <w:vAlign w:val="center"/>
          </w:tcPr>
          <w:p w14:paraId="089209BB">
            <w:pPr>
              <w:widowControl/>
              <w:spacing w:line="240" w:lineRule="exact"/>
              <w:jc w:val="left"/>
              <w:rPr>
                <w:rFonts w:hint="eastAsia" w:ascii="宋体" w:hAnsi="宋体" w:cs="宋体"/>
                <w:color w:val="000000"/>
              </w:rPr>
            </w:pPr>
            <w:r>
              <w:rPr>
                <w:rFonts w:hint="eastAsia" w:ascii="宋体" w:hAnsi="宋体" w:cs="宋体"/>
                <w:color w:val="000000"/>
                <w:kern w:val="0"/>
                <w:lang w:bidi="ar"/>
              </w:rPr>
              <w:t>实践教学课时占比≥50%；“校中店”“店中校”或订单班实施情况</w:t>
            </w:r>
          </w:p>
        </w:tc>
      </w:tr>
      <w:tr w14:paraId="6CF0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5E85C9C">
            <w:pPr>
              <w:widowControl/>
              <w:spacing w:line="240" w:lineRule="exact"/>
              <w:jc w:val="center"/>
              <w:rPr>
                <w:rFonts w:hint="eastAsia" w:ascii="宋体" w:hAnsi="宋体" w:cs="宋体"/>
                <w:color w:val="000000"/>
              </w:rPr>
            </w:pPr>
            <w:r>
              <w:rPr>
                <w:rFonts w:hint="eastAsia" w:ascii="宋体" w:hAnsi="宋体" w:cs="宋体"/>
                <w:color w:val="000000"/>
                <w:kern w:val="0"/>
                <w:lang w:bidi="ar"/>
              </w:rPr>
              <w:t>质量监控</w:t>
            </w:r>
          </w:p>
        </w:tc>
        <w:tc>
          <w:tcPr>
            <w:tcW w:w="0" w:type="auto"/>
            <w:shd w:val="clear" w:color="auto" w:fill="FFFFFF"/>
            <w:tcMar>
              <w:top w:w="150" w:type="dxa"/>
              <w:left w:w="240" w:type="dxa"/>
              <w:bottom w:w="150" w:type="dxa"/>
              <w:right w:w="0" w:type="dxa"/>
            </w:tcMar>
            <w:vAlign w:val="center"/>
          </w:tcPr>
          <w:p w14:paraId="7E35B1BF">
            <w:pPr>
              <w:widowControl/>
              <w:spacing w:line="240" w:lineRule="exact"/>
              <w:jc w:val="left"/>
              <w:rPr>
                <w:rFonts w:hint="eastAsia" w:ascii="宋体" w:hAnsi="宋体" w:cs="宋体"/>
                <w:color w:val="000000"/>
              </w:rPr>
            </w:pPr>
            <w:r>
              <w:rPr>
                <w:rFonts w:hint="eastAsia" w:ascii="宋体" w:hAnsi="宋体" w:cs="宋体"/>
                <w:color w:val="000000"/>
                <w:kern w:val="0"/>
                <w:lang w:bidi="ar"/>
              </w:rPr>
              <w:t>教学过程记录完整；教学质量监控机制运行有效；学生评教、督导听课等制度健全</w:t>
            </w:r>
          </w:p>
        </w:tc>
      </w:tr>
    </w:tbl>
    <w:p w14:paraId="71E20C53">
      <w:pPr>
        <w:pStyle w:val="77"/>
        <w:spacing w:before="120" w:after="120"/>
      </w:pPr>
      <w:r>
        <w:rPr>
          <w:rFonts w:hint="eastAsia"/>
        </w:rPr>
        <w:t>培养成果指标</w:t>
      </w:r>
    </w:p>
    <w:tbl>
      <w:tblPr>
        <w:tblStyle w:val="26"/>
        <w:tblW w:w="5079"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51"/>
        <w:gridCol w:w="8100"/>
      </w:tblGrid>
      <w:tr w14:paraId="658D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Borders>
              <w:tl2br w:val="nil"/>
            </w:tcBorders>
            <w:shd w:val="clear" w:color="auto" w:fill="FFFFFF"/>
            <w:tcMar>
              <w:top w:w="150" w:type="dxa"/>
              <w:left w:w="0" w:type="dxa"/>
              <w:bottom w:w="150" w:type="dxa"/>
              <w:right w:w="240" w:type="dxa"/>
            </w:tcMar>
            <w:vAlign w:val="center"/>
          </w:tcPr>
          <w:p w14:paraId="07FFD2A7">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二级指标</w:t>
            </w:r>
          </w:p>
        </w:tc>
        <w:tc>
          <w:tcPr>
            <w:tcW w:w="0" w:type="auto"/>
            <w:shd w:val="clear" w:color="auto" w:fill="FFFFFF"/>
            <w:tcMar>
              <w:top w:w="150" w:type="dxa"/>
              <w:left w:w="240" w:type="dxa"/>
              <w:bottom w:w="150" w:type="dxa"/>
              <w:right w:w="240" w:type="dxa"/>
            </w:tcMar>
            <w:vAlign w:val="center"/>
          </w:tcPr>
          <w:p w14:paraId="7C4105F0">
            <w:pPr>
              <w:widowControl/>
              <w:spacing w:line="240" w:lineRule="exact"/>
              <w:jc w:val="center"/>
              <w:rPr>
                <w:rFonts w:hint="eastAsia" w:ascii="宋体" w:hAnsi="宋体" w:cs="宋体"/>
                <w:b/>
                <w:color w:val="000000"/>
              </w:rPr>
            </w:pPr>
            <w:r>
              <w:rPr>
                <w:rFonts w:hint="eastAsia" w:ascii="宋体" w:hAnsi="宋体" w:cs="宋体"/>
                <w:b/>
                <w:color w:val="000000"/>
                <w:kern w:val="0"/>
                <w:lang w:bidi="ar"/>
              </w:rPr>
              <w:t>评价要点</w:t>
            </w:r>
          </w:p>
        </w:tc>
      </w:tr>
      <w:tr w14:paraId="44D4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C250C74">
            <w:pPr>
              <w:widowControl/>
              <w:spacing w:line="240" w:lineRule="exact"/>
              <w:jc w:val="center"/>
              <w:rPr>
                <w:rFonts w:hint="eastAsia" w:ascii="宋体" w:hAnsi="宋体" w:cs="宋体"/>
                <w:color w:val="000000"/>
              </w:rPr>
            </w:pPr>
            <w:r>
              <w:rPr>
                <w:rFonts w:hint="eastAsia" w:ascii="宋体" w:hAnsi="宋体" w:cs="宋体"/>
                <w:color w:val="000000"/>
                <w:kern w:val="0"/>
                <w:lang w:bidi="ar"/>
              </w:rPr>
              <w:t>人才培养规模</w:t>
            </w:r>
          </w:p>
        </w:tc>
        <w:tc>
          <w:tcPr>
            <w:tcW w:w="0" w:type="auto"/>
            <w:shd w:val="clear" w:color="auto" w:fill="FFFFFF"/>
            <w:tcMar>
              <w:top w:w="150" w:type="dxa"/>
              <w:left w:w="240" w:type="dxa"/>
              <w:bottom w:w="150" w:type="dxa"/>
              <w:right w:w="0" w:type="dxa"/>
            </w:tcMar>
            <w:vAlign w:val="center"/>
          </w:tcPr>
          <w:p w14:paraId="045B7CEF">
            <w:pPr>
              <w:widowControl/>
              <w:spacing w:line="240" w:lineRule="exact"/>
              <w:jc w:val="center"/>
              <w:rPr>
                <w:rFonts w:hint="eastAsia" w:ascii="宋体" w:hAnsi="宋体" w:cs="宋体"/>
                <w:color w:val="000000"/>
              </w:rPr>
            </w:pPr>
            <w:r>
              <w:rPr>
                <w:rFonts w:hint="eastAsia" w:ascii="宋体" w:hAnsi="宋体" w:cs="宋体"/>
                <w:color w:val="000000"/>
                <w:kern w:val="0"/>
                <w:lang w:bidi="ar"/>
              </w:rPr>
              <w:t>年度招收海外留学生/培训生人数；输出国际交流生人数；线上线下培训人次</w:t>
            </w:r>
          </w:p>
        </w:tc>
      </w:tr>
      <w:tr w14:paraId="3551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AECDD6C">
            <w:pPr>
              <w:widowControl/>
              <w:spacing w:line="240" w:lineRule="exact"/>
              <w:jc w:val="center"/>
              <w:rPr>
                <w:rFonts w:hint="eastAsia" w:ascii="宋体" w:hAnsi="宋体" w:cs="宋体"/>
                <w:color w:val="000000"/>
              </w:rPr>
            </w:pPr>
            <w:r>
              <w:rPr>
                <w:rFonts w:hint="eastAsia" w:ascii="宋体" w:hAnsi="宋体" w:cs="宋体"/>
                <w:color w:val="000000"/>
                <w:kern w:val="0"/>
                <w:lang w:bidi="ar"/>
              </w:rPr>
              <w:t>培养质量</w:t>
            </w:r>
          </w:p>
        </w:tc>
        <w:tc>
          <w:tcPr>
            <w:tcW w:w="0" w:type="auto"/>
            <w:shd w:val="clear" w:color="auto" w:fill="FFFFFF"/>
            <w:tcMar>
              <w:top w:w="150" w:type="dxa"/>
              <w:left w:w="240" w:type="dxa"/>
              <w:bottom w:w="150" w:type="dxa"/>
              <w:right w:w="0" w:type="dxa"/>
            </w:tcMar>
            <w:vAlign w:val="center"/>
          </w:tcPr>
          <w:p w14:paraId="5BF7324D">
            <w:pPr>
              <w:widowControl/>
              <w:spacing w:line="240" w:lineRule="exact"/>
              <w:jc w:val="center"/>
              <w:rPr>
                <w:rFonts w:hint="eastAsia" w:ascii="宋体" w:hAnsi="宋体" w:cs="宋体"/>
                <w:color w:val="000000"/>
              </w:rPr>
            </w:pPr>
            <w:r>
              <w:rPr>
                <w:rFonts w:hint="eastAsia" w:ascii="宋体" w:hAnsi="宋体" w:cs="宋体"/>
                <w:color w:val="000000"/>
                <w:kern w:val="0"/>
                <w:lang w:bidi="ar"/>
              </w:rPr>
              <w:t>学生技能竞赛获奖情况；职业技能等级证书获取率；毕业/结业率</w:t>
            </w:r>
          </w:p>
        </w:tc>
      </w:tr>
      <w:tr w14:paraId="50BF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929A327">
            <w:pPr>
              <w:widowControl/>
              <w:spacing w:line="240" w:lineRule="exact"/>
              <w:jc w:val="center"/>
              <w:rPr>
                <w:rFonts w:hint="eastAsia" w:ascii="宋体" w:hAnsi="宋体" w:cs="宋体"/>
                <w:color w:val="000000"/>
              </w:rPr>
            </w:pPr>
            <w:r>
              <w:rPr>
                <w:rFonts w:hint="eastAsia" w:ascii="宋体" w:hAnsi="宋体" w:cs="宋体"/>
                <w:color w:val="000000"/>
                <w:kern w:val="0"/>
                <w:lang w:bidi="ar"/>
              </w:rPr>
              <w:t>就业与发展</w:t>
            </w:r>
          </w:p>
        </w:tc>
        <w:tc>
          <w:tcPr>
            <w:tcW w:w="0" w:type="auto"/>
            <w:shd w:val="clear" w:color="auto" w:fill="FFFFFF"/>
            <w:tcMar>
              <w:top w:w="150" w:type="dxa"/>
              <w:left w:w="240" w:type="dxa"/>
              <w:bottom w:w="150" w:type="dxa"/>
              <w:right w:w="0" w:type="dxa"/>
            </w:tcMar>
            <w:vAlign w:val="center"/>
          </w:tcPr>
          <w:p w14:paraId="6D64D7FF">
            <w:pPr>
              <w:widowControl/>
              <w:spacing w:line="240" w:lineRule="exact"/>
              <w:jc w:val="center"/>
              <w:rPr>
                <w:rFonts w:hint="eastAsia" w:ascii="宋体" w:hAnsi="宋体" w:cs="宋体"/>
                <w:color w:val="000000"/>
              </w:rPr>
            </w:pPr>
            <w:r>
              <w:rPr>
                <w:rFonts w:hint="eastAsia" w:ascii="宋体" w:hAnsi="宋体" w:cs="宋体"/>
                <w:color w:val="000000"/>
                <w:kern w:val="0"/>
                <w:lang w:bidi="ar"/>
              </w:rPr>
              <w:t>毕业生就业率（含海外就业）；合作企业录用比例；毕业生职业发展跟踪评价</w:t>
            </w:r>
          </w:p>
        </w:tc>
      </w:tr>
      <w:tr w14:paraId="685D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4241456">
            <w:pPr>
              <w:widowControl/>
              <w:spacing w:line="240" w:lineRule="exact"/>
              <w:jc w:val="center"/>
              <w:rPr>
                <w:rFonts w:hint="eastAsia" w:ascii="宋体" w:hAnsi="宋体" w:cs="宋体"/>
                <w:color w:val="000000"/>
              </w:rPr>
            </w:pPr>
            <w:r>
              <w:rPr>
                <w:rFonts w:hint="eastAsia" w:ascii="宋体" w:hAnsi="宋体" w:cs="宋体"/>
                <w:color w:val="000000"/>
                <w:kern w:val="0"/>
                <w:lang w:bidi="ar"/>
              </w:rPr>
              <w:t>学分互认</w:t>
            </w:r>
          </w:p>
        </w:tc>
        <w:tc>
          <w:tcPr>
            <w:tcW w:w="0" w:type="auto"/>
            <w:shd w:val="clear" w:color="auto" w:fill="FFFFFF"/>
            <w:tcMar>
              <w:top w:w="150" w:type="dxa"/>
              <w:left w:w="240" w:type="dxa"/>
              <w:bottom w:w="150" w:type="dxa"/>
              <w:right w:w="0" w:type="dxa"/>
            </w:tcMar>
            <w:vAlign w:val="center"/>
          </w:tcPr>
          <w:p w14:paraId="072D1A7C">
            <w:pPr>
              <w:widowControl/>
              <w:spacing w:line="240" w:lineRule="exact"/>
              <w:jc w:val="center"/>
              <w:rPr>
                <w:rFonts w:hint="eastAsia" w:ascii="宋体" w:hAnsi="宋体" w:cs="宋体"/>
                <w:color w:val="000000"/>
              </w:rPr>
            </w:pPr>
            <w:r>
              <w:rPr>
                <w:rFonts w:hint="eastAsia" w:ascii="宋体" w:hAnsi="宋体" w:cs="宋体"/>
                <w:color w:val="000000"/>
                <w:kern w:val="0"/>
                <w:lang w:bidi="ar"/>
              </w:rPr>
              <w:t>与海外院校/机构建立学分互认机制；学生获得国际认可的资格证书情况</w:t>
            </w:r>
          </w:p>
        </w:tc>
      </w:tr>
    </w:tbl>
    <w:p w14:paraId="70E0204B">
      <w:pPr>
        <w:pStyle w:val="77"/>
        <w:spacing w:before="120" w:after="120"/>
      </w:pPr>
      <w:r>
        <w:rPr>
          <w:rFonts w:hint="eastAsia"/>
        </w:rPr>
        <w:t>社会影响与特色创新指标</w:t>
      </w:r>
    </w:p>
    <w:tbl>
      <w:tblPr>
        <w:tblStyle w:val="26"/>
        <w:tblW w:w="5078"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99"/>
        <w:gridCol w:w="8650"/>
      </w:tblGrid>
      <w:tr w14:paraId="7F84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Borders>
              <w:tl2br w:val="nil"/>
            </w:tcBorders>
            <w:shd w:val="clear" w:color="auto" w:fill="FFFFFF"/>
            <w:tcMar>
              <w:top w:w="150" w:type="dxa"/>
              <w:left w:w="0" w:type="dxa"/>
              <w:bottom w:w="150" w:type="dxa"/>
              <w:right w:w="240" w:type="dxa"/>
            </w:tcMar>
            <w:vAlign w:val="center"/>
          </w:tcPr>
          <w:p w14:paraId="6143DDBF">
            <w:pPr>
              <w:widowControl/>
              <w:spacing w:line="240" w:lineRule="exact"/>
              <w:jc w:val="center"/>
              <w:rPr>
                <w:rFonts w:hint="eastAsia" w:ascii="宋体" w:hAnsi="宋体" w:cs="宋体"/>
                <w:b/>
                <w:bCs/>
                <w:color w:val="000000"/>
              </w:rPr>
            </w:pPr>
            <w:r>
              <w:rPr>
                <w:rFonts w:hint="eastAsia" w:ascii="宋体" w:hAnsi="宋体" w:cs="宋体"/>
                <w:b/>
                <w:bCs/>
                <w:color w:val="000000"/>
                <w:kern w:val="0"/>
                <w:lang w:bidi="ar"/>
              </w:rPr>
              <w:t>二级指标</w:t>
            </w:r>
          </w:p>
        </w:tc>
        <w:tc>
          <w:tcPr>
            <w:tcW w:w="0" w:type="auto"/>
            <w:shd w:val="clear" w:color="auto" w:fill="FFFFFF"/>
            <w:tcMar>
              <w:top w:w="150" w:type="dxa"/>
              <w:left w:w="240" w:type="dxa"/>
              <w:bottom w:w="150" w:type="dxa"/>
              <w:right w:w="240" w:type="dxa"/>
            </w:tcMar>
            <w:vAlign w:val="center"/>
          </w:tcPr>
          <w:p w14:paraId="039ED603">
            <w:pPr>
              <w:widowControl/>
              <w:spacing w:line="240" w:lineRule="exact"/>
              <w:jc w:val="center"/>
              <w:rPr>
                <w:rFonts w:hint="eastAsia" w:ascii="宋体" w:hAnsi="宋体" w:cs="宋体"/>
                <w:b/>
                <w:bCs/>
                <w:color w:val="000000"/>
              </w:rPr>
            </w:pPr>
            <w:r>
              <w:rPr>
                <w:rFonts w:hint="eastAsia" w:ascii="宋体" w:hAnsi="宋体" w:cs="宋体"/>
                <w:b/>
                <w:bCs/>
                <w:color w:val="000000"/>
                <w:kern w:val="0"/>
                <w:lang w:bidi="ar"/>
              </w:rPr>
              <w:t>评价要点</w:t>
            </w:r>
          </w:p>
        </w:tc>
      </w:tr>
      <w:tr w14:paraId="1F37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6C3118D">
            <w:pPr>
              <w:widowControl/>
              <w:spacing w:line="240" w:lineRule="exact"/>
              <w:jc w:val="center"/>
              <w:rPr>
                <w:rFonts w:hint="eastAsia" w:ascii="宋体" w:hAnsi="宋体" w:cs="宋体"/>
                <w:color w:val="000000"/>
              </w:rPr>
            </w:pPr>
            <w:r>
              <w:rPr>
                <w:rFonts w:hint="eastAsia" w:ascii="宋体" w:hAnsi="宋体" w:cs="宋体"/>
                <w:color w:val="000000"/>
                <w:kern w:val="0"/>
                <w:lang w:bidi="ar"/>
              </w:rPr>
              <w:t>文化交流</w:t>
            </w:r>
          </w:p>
        </w:tc>
        <w:tc>
          <w:tcPr>
            <w:tcW w:w="0" w:type="auto"/>
            <w:shd w:val="clear" w:color="auto" w:fill="FFFFFF"/>
            <w:tcMar>
              <w:top w:w="150" w:type="dxa"/>
              <w:left w:w="240" w:type="dxa"/>
              <w:bottom w:w="150" w:type="dxa"/>
              <w:right w:w="0" w:type="dxa"/>
            </w:tcMar>
            <w:vAlign w:val="center"/>
          </w:tcPr>
          <w:p w14:paraId="24850C57">
            <w:pPr>
              <w:widowControl/>
              <w:spacing w:line="240" w:lineRule="exact"/>
              <w:jc w:val="center"/>
              <w:rPr>
                <w:rFonts w:hint="eastAsia" w:ascii="宋体" w:hAnsi="宋体" w:cs="宋体"/>
                <w:color w:val="000000"/>
              </w:rPr>
            </w:pPr>
            <w:r>
              <w:rPr>
                <w:rFonts w:hint="eastAsia" w:ascii="宋体" w:hAnsi="宋体" w:cs="宋体"/>
                <w:color w:val="000000"/>
                <w:kern w:val="0"/>
                <w:lang w:bidi="ar"/>
              </w:rPr>
              <w:t>年度组织双向文化交流活动次数及覆盖面（“走出去”“请进来”）；举办中餐文化节、大师公开课等社会传播活动</w:t>
            </w:r>
          </w:p>
        </w:tc>
      </w:tr>
      <w:tr w14:paraId="79B1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31FC5E5">
            <w:pPr>
              <w:widowControl/>
              <w:spacing w:line="240" w:lineRule="exact"/>
              <w:jc w:val="center"/>
              <w:rPr>
                <w:rFonts w:hint="eastAsia" w:ascii="宋体" w:hAnsi="宋体" w:cs="宋体"/>
                <w:color w:val="000000"/>
              </w:rPr>
            </w:pPr>
            <w:r>
              <w:rPr>
                <w:rFonts w:hint="eastAsia" w:ascii="宋体" w:hAnsi="宋体" w:cs="宋体"/>
                <w:color w:val="000000"/>
                <w:kern w:val="0"/>
                <w:lang w:bidi="ar"/>
              </w:rPr>
              <w:t>平台建设</w:t>
            </w:r>
          </w:p>
        </w:tc>
        <w:tc>
          <w:tcPr>
            <w:tcW w:w="0" w:type="auto"/>
            <w:shd w:val="clear" w:color="auto" w:fill="FFFFFF"/>
            <w:tcMar>
              <w:top w:w="150" w:type="dxa"/>
              <w:left w:w="240" w:type="dxa"/>
              <w:bottom w:w="150" w:type="dxa"/>
              <w:right w:w="0" w:type="dxa"/>
            </w:tcMar>
            <w:vAlign w:val="center"/>
          </w:tcPr>
          <w:p w14:paraId="14F798E4">
            <w:pPr>
              <w:widowControl/>
              <w:spacing w:line="240" w:lineRule="exact"/>
              <w:jc w:val="center"/>
              <w:rPr>
                <w:rFonts w:hint="eastAsia" w:ascii="宋体" w:hAnsi="宋体" w:cs="宋体"/>
                <w:color w:val="000000"/>
              </w:rPr>
            </w:pPr>
            <w:r>
              <w:rPr>
                <w:rFonts w:hint="eastAsia" w:ascii="宋体" w:hAnsi="宋体" w:cs="宋体"/>
                <w:color w:val="000000"/>
                <w:kern w:val="0"/>
                <w:lang w:bidi="ar"/>
              </w:rPr>
              <w:t>建设中餐文化体验中心、国际直播间等创新平台；利用平台开展国际传播成效</w:t>
            </w:r>
          </w:p>
        </w:tc>
      </w:tr>
      <w:tr w14:paraId="0B91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D211870">
            <w:pPr>
              <w:widowControl/>
              <w:spacing w:line="240" w:lineRule="exact"/>
              <w:jc w:val="center"/>
              <w:rPr>
                <w:rFonts w:hint="eastAsia" w:ascii="宋体" w:hAnsi="宋体" w:cs="宋体"/>
                <w:color w:val="000000"/>
              </w:rPr>
            </w:pPr>
            <w:r>
              <w:rPr>
                <w:rFonts w:hint="eastAsia" w:ascii="宋体" w:hAnsi="宋体" w:cs="宋体"/>
                <w:color w:val="000000"/>
                <w:kern w:val="0"/>
                <w:lang w:bidi="ar"/>
              </w:rPr>
              <w:t>文化传承</w:t>
            </w:r>
          </w:p>
        </w:tc>
        <w:tc>
          <w:tcPr>
            <w:tcW w:w="0" w:type="auto"/>
            <w:shd w:val="clear" w:color="auto" w:fill="FFFFFF"/>
            <w:tcMar>
              <w:top w:w="150" w:type="dxa"/>
              <w:left w:w="240" w:type="dxa"/>
              <w:bottom w:w="150" w:type="dxa"/>
              <w:right w:w="0" w:type="dxa"/>
            </w:tcMar>
            <w:vAlign w:val="center"/>
          </w:tcPr>
          <w:p w14:paraId="19B338A9">
            <w:pPr>
              <w:widowControl/>
              <w:spacing w:line="240" w:lineRule="exact"/>
              <w:jc w:val="center"/>
              <w:rPr>
                <w:rFonts w:hint="eastAsia" w:ascii="宋体" w:hAnsi="宋体" w:cs="宋体"/>
                <w:color w:val="000000"/>
              </w:rPr>
            </w:pPr>
            <w:r>
              <w:rPr>
                <w:rFonts w:hint="eastAsia" w:ascii="宋体" w:hAnsi="宋体" w:cs="宋体"/>
                <w:color w:val="000000"/>
                <w:kern w:val="0"/>
                <w:lang w:bidi="ar"/>
              </w:rPr>
              <w:t>服务当地华侨华人、传承中华文化的案例与成效</w:t>
            </w:r>
          </w:p>
        </w:tc>
      </w:tr>
      <w:tr w14:paraId="4D91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6E2554A">
            <w:pPr>
              <w:widowControl/>
              <w:spacing w:line="240" w:lineRule="exact"/>
              <w:jc w:val="center"/>
              <w:rPr>
                <w:rFonts w:hint="eastAsia" w:ascii="宋体" w:hAnsi="宋体" w:cs="宋体"/>
                <w:color w:val="000000"/>
              </w:rPr>
            </w:pPr>
            <w:r>
              <w:rPr>
                <w:rFonts w:hint="eastAsia" w:ascii="宋体" w:hAnsi="宋体" w:cs="宋体"/>
                <w:color w:val="000000"/>
                <w:kern w:val="0"/>
                <w:lang w:bidi="ar"/>
              </w:rPr>
              <w:t>特色创新</w:t>
            </w:r>
          </w:p>
        </w:tc>
        <w:tc>
          <w:tcPr>
            <w:tcW w:w="0" w:type="auto"/>
            <w:shd w:val="clear" w:color="auto" w:fill="FFFFFF"/>
            <w:tcMar>
              <w:top w:w="150" w:type="dxa"/>
              <w:left w:w="240" w:type="dxa"/>
              <w:bottom w:w="150" w:type="dxa"/>
              <w:right w:w="0" w:type="dxa"/>
            </w:tcMar>
            <w:vAlign w:val="center"/>
          </w:tcPr>
          <w:p w14:paraId="13EEDC97">
            <w:pPr>
              <w:widowControl/>
              <w:spacing w:line="240" w:lineRule="exact"/>
              <w:jc w:val="center"/>
              <w:rPr>
                <w:rFonts w:hint="eastAsia" w:ascii="宋体" w:hAnsi="宋体" w:cs="宋体"/>
                <w:color w:val="000000"/>
              </w:rPr>
            </w:pPr>
            <w:r>
              <w:rPr>
                <w:rFonts w:hint="eastAsia" w:ascii="宋体" w:hAnsi="宋体" w:cs="宋体"/>
                <w:color w:val="000000"/>
                <w:kern w:val="0"/>
                <w:lang w:bidi="ar"/>
              </w:rPr>
              <w:t>结合当地饮食文化的课程或菜品创新成果；产教融合特色模式；标准建设的贡献（参与标准、教材开发等）</w:t>
            </w:r>
          </w:p>
        </w:tc>
      </w:tr>
      <w:tr w14:paraId="2968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915C646">
            <w:pPr>
              <w:widowControl/>
              <w:spacing w:line="240" w:lineRule="exact"/>
              <w:jc w:val="center"/>
              <w:rPr>
                <w:rFonts w:hint="eastAsia" w:ascii="宋体" w:hAnsi="宋体" w:cs="宋体"/>
                <w:color w:val="000000"/>
              </w:rPr>
            </w:pPr>
            <w:r>
              <w:rPr>
                <w:rFonts w:hint="eastAsia" w:ascii="宋体" w:hAnsi="宋体" w:cs="宋体"/>
                <w:color w:val="000000"/>
                <w:kern w:val="0"/>
                <w:lang w:bidi="ar"/>
              </w:rPr>
              <w:t>国际影响力</w:t>
            </w:r>
          </w:p>
        </w:tc>
        <w:tc>
          <w:tcPr>
            <w:tcW w:w="0" w:type="auto"/>
            <w:shd w:val="clear" w:color="auto" w:fill="FFFFFF"/>
            <w:tcMar>
              <w:top w:w="150" w:type="dxa"/>
              <w:left w:w="240" w:type="dxa"/>
              <w:bottom w:w="150" w:type="dxa"/>
              <w:right w:w="0" w:type="dxa"/>
            </w:tcMar>
            <w:vAlign w:val="center"/>
          </w:tcPr>
          <w:p w14:paraId="3364499E">
            <w:pPr>
              <w:widowControl/>
              <w:spacing w:line="240" w:lineRule="exact"/>
              <w:jc w:val="center"/>
              <w:rPr>
                <w:rFonts w:hint="eastAsia" w:ascii="宋体" w:hAnsi="宋体" w:cs="宋体"/>
                <w:color w:val="000000"/>
              </w:rPr>
            </w:pPr>
            <w:r>
              <w:rPr>
                <w:rFonts w:hint="eastAsia" w:ascii="宋体" w:hAnsi="宋体" w:cs="宋体"/>
                <w:color w:val="000000"/>
                <w:kern w:val="0"/>
                <w:lang w:bidi="ar"/>
              </w:rPr>
              <w:t>海外媒体报道；与海外院校/机构合作项目数量；国际会议或论坛参与情况</w:t>
            </w:r>
          </w:p>
        </w:tc>
      </w:tr>
    </w:tbl>
    <w:p w14:paraId="3A21DEB5">
      <w:pPr>
        <w:pStyle w:val="56"/>
        <w:ind w:firstLine="420"/>
      </w:pPr>
    </w:p>
    <w:bookmarkEnd w:id="44"/>
    <w:p w14:paraId="4069A9B5">
      <w:pPr>
        <w:pStyle w:val="56"/>
        <w:ind w:firstLine="420"/>
        <w:sectPr>
          <w:pgSz w:w="11906" w:h="16838"/>
          <w:pgMar w:top="1928" w:right="1134" w:bottom="1134" w:left="1134" w:header="1418" w:footer="1134" w:gutter="284"/>
          <w:cols w:space="425" w:num="1"/>
          <w:formProt w:val="0"/>
          <w:docGrid w:linePitch="312" w:charSpace="0"/>
        </w:sectPr>
      </w:pPr>
      <w:bookmarkStart w:id="45" w:name="BookMark6"/>
    </w:p>
    <w:p w14:paraId="30A06A6F">
      <w:pPr>
        <w:pStyle w:val="63"/>
        <w:spacing w:after="120"/>
      </w:pPr>
      <w:r>
        <w:rPr>
          <w:rFonts w:hint="eastAsia"/>
          <w:spacing w:val="105"/>
        </w:rPr>
        <w:t>参考文</w:t>
      </w:r>
      <w:r>
        <w:rPr>
          <w:rFonts w:hint="eastAsia"/>
        </w:rPr>
        <w:t>献</w:t>
      </w:r>
    </w:p>
    <w:p w14:paraId="151FEA76">
      <w:pPr>
        <w:pStyle w:val="56"/>
        <w:ind w:firstLine="420"/>
      </w:pPr>
      <w:r>
        <w:rPr>
          <w:rFonts w:hint="eastAsia"/>
        </w:rPr>
        <w:t>【1】《职业教育产教融合赋能提升行动实施方案》教职成〔2021〕1号 教育部等九部门关于印发</w:t>
      </w:r>
    </w:p>
    <w:p w14:paraId="047264F2">
      <w:pPr>
        <w:pStyle w:val="56"/>
        <w:ind w:firstLine="420"/>
      </w:pPr>
    </w:p>
    <w:p w14:paraId="3397549B">
      <w:pPr>
        <w:pStyle w:val="56"/>
        <w:ind w:firstLine="420"/>
      </w:pPr>
    </w:p>
    <w:p w14:paraId="4F959D18">
      <w:pPr>
        <w:pStyle w:val="56"/>
        <w:ind w:firstLine="420"/>
      </w:pPr>
    </w:p>
    <w:bookmarkEnd w:id="45"/>
    <w:p w14:paraId="39B872F1">
      <w:pPr>
        <w:pStyle w:val="56"/>
        <w:ind w:firstLine="0" w:firstLineChars="0"/>
        <w:jc w:val="center"/>
      </w:pPr>
      <w:bookmarkStart w:id="46" w:name="BookMark8"/>
      <w:r>
        <w:rPr>
          <w:rFonts w:hint="eastAsia"/>
        </w:rPr>
        <w:drawing>
          <wp:inline distT="0" distB="0" distL="0" distR="0">
            <wp:extent cx="1485900" cy="317500"/>
            <wp:effectExtent l="0" t="0" r="0" b="6350"/>
            <wp:docPr id="1018486807" name="图片 1"/>
            <wp:cNvGraphicFramePr/>
            <a:graphic xmlns:a="http://schemas.openxmlformats.org/drawingml/2006/main">
              <a:graphicData uri="http://schemas.openxmlformats.org/drawingml/2006/picture">
                <pic:pic xmlns:pic="http://schemas.openxmlformats.org/drawingml/2006/picture">
                  <pic:nvPicPr>
                    <pic:cNvPr id="1018486807"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7DD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2D3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63C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977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A4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1E3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844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C15A">
    <w:pPr>
      <w:pStyle w:val="61"/>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177B">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1701"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992"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A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0E4"/>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7AB"/>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30"/>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0A5"/>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3D09"/>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13C"/>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501"/>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918"/>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4D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5A96"/>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C1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8D6"/>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A3E"/>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44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CF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655"/>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15C"/>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066D"/>
    <w:rsid w:val="00EF3235"/>
    <w:rsid w:val="00EF7E72"/>
    <w:rsid w:val="00F06D37"/>
    <w:rsid w:val="00F07B9D"/>
    <w:rsid w:val="00F11586"/>
    <w:rsid w:val="00F1183B"/>
    <w:rsid w:val="00F11C9F"/>
    <w:rsid w:val="00F12263"/>
    <w:rsid w:val="00F1409D"/>
    <w:rsid w:val="00F14214"/>
    <w:rsid w:val="00F157A9"/>
    <w:rsid w:val="00F16335"/>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67D"/>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B9273F"/>
    <w:rsid w:val="2B911481"/>
    <w:rsid w:val="38B805B4"/>
    <w:rsid w:val="3DDF652E"/>
    <w:rsid w:val="3E220003"/>
    <w:rsid w:val="410302D3"/>
    <w:rsid w:val="51095EE9"/>
    <w:rsid w:val="56246112"/>
    <w:rsid w:val="66D87988"/>
    <w:rsid w:val="6D301BA0"/>
    <w:rsid w:val="76DF172A"/>
    <w:rsid w:val="7CD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E606ABC37048DF89EC5F1638F0CC11"/>
        <w:style w:val=""/>
        <w:category>
          <w:name w:val="常规"/>
          <w:gallery w:val="placeholder"/>
        </w:category>
        <w:types>
          <w:type w:val="bbPlcHdr"/>
        </w:types>
        <w:behaviors>
          <w:behavior w:val="content"/>
        </w:behaviors>
        <w:description w:val=""/>
        <w:guid w:val="{A4EF26C6-BEAE-4DE8-8895-AD3525851525}"/>
      </w:docPartPr>
      <w:docPartBody>
        <w:p w14:paraId="5D17D16C">
          <w:pPr>
            <w:pStyle w:val="5"/>
            <w:rPr>
              <w:rFonts w:hint="eastAsia"/>
            </w:rPr>
          </w:pPr>
          <w:r>
            <w:rPr>
              <w:rStyle w:val="4"/>
              <w:rFonts w:hint="eastAsia"/>
            </w:rPr>
            <w:t>单击或点击此处输入文字。</w:t>
          </w:r>
        </w:p>
      </w:docPartBody>
    </w:docPart>
    <w:docPart>
      <w:docPartPr>
        <w:name w:val="277CACDC9B394A959CD39B46065880C8"/>
        <w:style w:val=""/>
        <w:category>
          <w:name w:val="常规"/>
          <w:gallery w:val="placeholder"/>
        </w:category>
        <w:types>
          <w:type w:val="bbPlcHdr"/>
        </w:types>
        <w:behaviors>
          <w:behavior w:val="content"/>
        </w:behaviors>
        <w:description w:val=""/>
        <w:guid w:val="{6BE42BA0-B4D7-40DE-A806-D9AEDC766056}"/>
      </w:docPartPr>
      <w:docPartBody>
        <w:p w14:paraId="699CD424">
          <w:pPr>
            <w:pStyle w:val="6"/>
            <w:rPr>
              <w:rFonts w:hint="eastAsia"/>
            </w:rPr>
          </w:pPr>
          <w:r>
            <w:rPr>
              <w:rStyle w:val="4"/>
              <w:rFonts w:hint="eastAsia"/>
            </w:rPr>
            <w:t>选择一项。</w:t>
          </w:r>
        </w:p>
      </w:docPartBody>
    </w:docPart>
    <w:docPart>
      <w:docPartPr>
        <w:name w:val="4C04794F17844698AC2427E5D58EEE36"/>
        <w:style w:val=""/>
        <w:category>
          <w:name w:val="常规"/>
          <w:gallery w:val="placeholder"/>
        </w:category>
        <w:types>
          <w:type w:val="bbPlcHdr"/>
        </w:types>
        <w:behaviors>
          <w:behavior w:val="content"/>
        </w:behaviors>
        <w:description w:val=""/>
        <w:guid w:val="{E77CE016-8D34-4E04-80B6-7C1E086C12BD}"/>
      </w:docPartPr>
      <w:docPartBody>
        <w:p w14:paraId="7F173A6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07"/>
    <w:rsid w:val="003B1607"/>
    <w:rsid w:val="004C0493"/>
    <w:rsid w:val="004D0BD3"/>
    <w:rsid w:val="00695A96"/>
    <w:rsid w:val="00797A9E"/>
    <w:rsid w:val="00CC515C"/>
    <w:rsid w:val="00E443CF"/>
    <w:rsid w:val="00EF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EE606ABC37048DF89EC5F1638F0CC1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77CACDC9B394A959CD39B46065880C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C04794F17844698AC2427E5D58EEE3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4df38190-6fe2-49e9-8148-bfcaa3368abf</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7C18EA7A</paraID>
      <start>0</start>
      <end>5</end>
      <status>unmodified</status>
      <modifiedWord/>
      <trackRevisions>false</trackRevisions>
    </reviewItem>
    <reviewItem>
      <errorID>f55546bd-f16d-466c-b9cb-2b29feb9c0d6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A80B878</paraID>
      <start>56</start>
      <end>57</end>
      <status>modified</status>
      <modifiedWord>地</modifiedWord>
      <trackRevisions>false</trackRevisions>
    </reviewItem>
    <reviewItem>
      <errorID>e38a3a05-727c-4db2-b7b6-4b0a9c537560</errorID>
      <errorWord>、</errorWord>
      <group>L1_Word</group>
      <groupName>字词问题</groupName>
      <ability>L2_Typo</ability>
      <abilityName>字词错误</abilityName>
      <candidateList>
        <item>、对</item>
      </candidateList>
      <explain/>
      <paraID> 4335BE6</paraID>
      <start>44</start>
      <end>46</end>
      <status>modified</status>
      <modifiedWord>、对</modifiedWord>
      <trackRevisions>false</trackRevisions>
    </reviewItem>
    <reviewItem>
      <errorID>c76e45e1-cdee-4fd6-926e-23e81b28d739</errorID>
      <errorWord>培养</errorWord>
      <group>L1_Word</group>
      <groupName>字词问题</groupName>
      <ability>L2_Typo</ability>
      <abilityName>字词错误</abilityName>
      <candidateList>
        <item>体验</item>
      </candidateList>
      <explain/>
      <paraID>495E3F88</paraID>
      <start>28</start>
      <end>30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6c80f-b04a-4ae3-8a8b-535bd32c9631}">
  <ds:schemaRefs/>
</ds:datastoreItem>
</file>

<file path=customXml/itemProps3.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691</Words>
  <Characters>885</Characters>
  <Lines>73</Lines>
  <Paragraphs>20</Paragraphs>
  <TotalTime>0</TotalTime>
  <ScaleCrop>false</ScaleCrop>
  <LinksUpToDate>false</LinksUpToDate>
  <CharactersWithSpaces>929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2026-05-29T02:21:00Z</dcterms:created>
  <dc:creator>Xiaoli Song</dc:creator>
  <dc:description>&lt;config cover="true" show_menu="true" version="1.0.0" doctype="SDKXY"&gt;_x000d_
&lt;/config&gt;</dc:description>
  <cp:lastModifiedBy>hu</cp:lastModifiedBy>
  <cp:lastPrinted>2021-02-02T08:22:00Z</cp:lastPrinted>
  <dcterms:modified xsi:type="dcterms:W3CDTF">2026-05-29T04:49:26Z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eyJoZGlkIjoiYzE3MWM5ZGYyNzQ4OTQ5NDRlZjMzN2VlZjk1YWE3MGIiLCJ1c2VySWQiOiIyOTIyMjg3MTAifQ==</vt:lpwstr>
  </property>
  <property fmtid="{D5CDD505-2E9C-101B-9397-08002B2CF9AE}" pid="15" name="KSOProductBuildVer">
    <vt:lpwstr>2052-12.1.0.26375</vt:lpwstr>
  </property>
  <property fmtid="{D5CDD505-2E9C-101B-9397-08002B2CF9AE}" pid="16" name="ICV">
    <vt:lpwstr>2BA3CA2F3461409580E1DB80A85BDEE5_12</vt:lpwstr>
  </property>
</Properties>
</file>