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458E" w14:textId="77777777" w:rsidR="00096172" w:rsidRDefault="009C7F7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14:paraId="7F194022" w14:textId="77777777" w:rsidR="00096172" w:rsidRDefault="00096172">
      <w:pPr>
        <w:spacing w:line="520" w:lineRule="exact"/>
        <w:ind w:firstLineChars="200" w:firstLine="640"/>
        <w:rPr>
          <w:rFonts w:ascii="仿宋_GB2312" w:eastAsia="仿宋_GB2312" w:hAnsi="仿宋_GB2312" w:cs="仿宋_GB2312"/>
          <w:sz w:val="32"/>
          <w:szCs w:val="32"/>
        </w:rPr>
      </w:pPr>
    </w:p>
    <w:p w14:paraId="06BE599B" w14:textId="77777777" w:rsidR="00096172" w:rsidRDefault="009C7F7E">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2025百家大师汤邀请赛评判细则</w:t>
      </w:r>
    </w:p>
    <w:p w14:paraId="4F804F86" w14:textId="77777777" w:rsidR="00096172" w:rsidRDefault="00096172">
      <w:pPr>
        <w:spacing w:line="520" w:lineRule="exact"/>
        <w:ind w:firstLineChars="200" w:firstLine="640"/>
        <w:rPr>
          <w:rFonts w:ascii="仿宋_GB2312" w:eastAsia="仿宋_GB2312" w:hAnsi="仿宋_GB2312" w:cs="仿宋_GB2312"/>
          <w:sz w:val="32"/>
          <w:szCs w:val="32"/>
        </w:rPr>
      </w:pPr>
    </w:p>
    <w:p w14:paraId="087794B6"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为确保2025百家大师汤邀请赛（以下简称“本赛事”）的公平、公正与专业，科学、客观地评估参赛选手的技艺水平，并为汤品的产业化转化提供专业依据，特制定本细则。</w:t>
      </w:r>
    </w:p>
    <w:p w14:paraId="6E90B31A" w14:textId="77777777" w:rsidR="00096172" w:rsidRDefault="009C7F7E">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一、评判委员会</w:t>
      </w:r>
    </w:p>
    <w:p w14:paraId="4033D3FF"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1.本赛事评判委员会由中国烹饪协会统一派遣的国家级注册裁判员及汤品行业专家组成。</w:t>
      </w:r>
    </w:p>
    <w:p w14:paraId="1F58B8AD"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2.评委会设总裁判长一名，全面主持评判工作；裁判员分组对选手进行独立评判。</w:t>
      </w:r>
    </w:p>
    <w:p w14:paraId="29B192ED" w14:textId="77777777" w:rsidR="00096172" w:rsidRDefault="009C7F7E">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二、评判原则</w:t>
      </w:r>
    </w:p>
    <w:p w14:paraId="1C5E4BEA"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1.公平公正原则：裁判员须以本细则为唯一标准，独立执裁，不受任何外界因素干扰。</w:t>
      </w:r>
    </w:p>
    <w:p w14:paraId="6893243A"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2.专业客观原则：基于对选手现场操作及成品质量的客观事实进行评判，杜绝主观印象分。</w:t>
      </w:r>
    </w:p>
    <w:p w14:paraId="6FE1A533"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3.保密回避原则：裁判员须对评判细节及内部讨论内容严格保密，并执行严格的回避制度。</w:t>
      </w:r>
    </w:p>
    <w:p w14:paraId="3E8B9774" w14:textId="77777777" w:rsidR="00096172" w:rsidRDefault="009C7F7E">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三、评分标准与分值构成</w:t>
      </w:r>
    </w:p>
    <w:p w14:paraId="0C3E15C9"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本赛事总分为100分，从“现场操作规范”与“汤品成品质量”两个维度进行综合评定。具体分值分配如下：</w:t>
      </w:r>
    </w:p>
    <w:p w14:paraId="44D66EED"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（一）现场操作规范(30分)</w:t>
      </w:r>
    </w:p>
    <w:p w14:paraId="716A48B2"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此部分重点考察选手的职业素养、技艺功底与流程管理能力。</w:t>
      </w:r>
    </w:p>
    <w:p w14:paraId="1573C343"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1.准备工作与原料处理(10分):</w:t>
      </w:r>
    </w:p>
    <w:p w14:paraId="151698B7"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（4分）原料优质、预处理得当、卫生、合理，体现物尽其用、无浪费。</w:t>
      </w:r>
    </w:p>
    <w:p w14:paraId="1EED60E0"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（3分）工位设备、器具检查与准备充分、有序。</w:t>
      </w:r>
    </w:p>
    <w:p w14:paraId="13AA344A"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（3分）个人专属工具、特殊调味品准备齐全。</w:t>
      </w:r>
    </w:p>
    <w:p w14:paraId="03A4B63B"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2.操作流程与技艺展现(10分):</w:t>
      </w:r>
    </w:p>
    <w:p w14:paraId="60EFA383"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（5分）操作流程设计合理，步骤清晰，时间掌控精准。</w:t>
      </w:r>
    </w:p>
    <w:p w14:paraId="6460CDA0"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（5分）传统煲汤核心技艺（</w:t>
      </w:r>
      <w:proofErr w:type="gramStart"/>
      <w:r>
        <w:rPr>
          <w:rFonts w:ascii="仿宋_GB2312" w:eastAsia="仿宋_GB2312" w:hAnsi="仿宋_GB2312" w:cs="仿宋_GB2312" w:hint="eastAsia"/>
          <w:sz w:val="32"/>
          <w:szCs w:val="32"/>
        </w:rPr>
        <w:t>如吊汤</w:t>
      </w:r>
      <w:proofErr w:type="gramEnd"/>
      <w:r>
        <w:rPr>
          <w:rFonts w:ascii="仿宋_GB2312" w:eastAsia="仿宋_GB2312" w:hAnsi="仿宋_GB2312" w:cs="仿宋_GB2312" w:hint="eastAsia"/>
          <w:sz w:val="32"/>
          <w:szCs w:val="32"/>
        </w:rPr>
        <w:t>、火候掌控、去芜存菁等）展现纯熟、稳定。</w:t>
      </w:r>
    </w:p>
    <w:p w14:paraId="70BD68AF"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3.安全卫生与现场管理 (10分):</w:t>
      </w:r>
    </w:p>
    <w:p w14:paraId="2D66018E"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（4分）操作期间个人、工位及器具清洁保持良好。</w:t>
      </w:r>
    </w:p>
    <w:p w14:paraId="3D56615A"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（3分）安全使用水、电、燃气及设备，无任何安全隐患。</w:t>
      </w:r>
    </w:p>
    <w:p w14:paraId="35E19F73"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（3分）操作结束后，工位整洁，垃圾处理妥当，符合清场要求。</w:t>
      </w:r>
    </w:p>
    <w:p w14:paraId="2BAECBE1"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（二）汤品成品质量(70分)</w:t>
      </w:r>
    </w:p>
    <w:p w14:paraId="6BD04D0E"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此部分是评判的核心，通过盲评（匿名品鉴）方式进行。</w:t>
      </w:r>
    </w:p>
    <w:p w14:paraId="3128F584"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1.风味与味感(30分):</w:t>
      </w:r>
    </w:p>
    <w:p w14:paraId="0B5FA44B"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鲜美度与层次感(15分):汤品主体风味鲜明，鲜味纯正、浓郁、自然，口味层次丰富，回味悠长。</w:t>
      </w:r>
    </w:p>
    <w:p w14:paraId="6F2E94D4"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咸淡与调和度(15分):咸淡适中，各种调味和谐，充分</w:t>
      </w:r>
      <w:proofErr w:type="gramStart"/>
      <w:r>
        <w:rPr>
          <w:rFonts w:ascii="仿宋_GB2312" w:eastAsia="仿宋_GB2312" w:hAnsi="仿宋_GB2312" w:cs="仿宋_GB2312" w:hint="eastAsia"/>
          <w:sz w:val="32"/>
          <w:szCs w:val="32"/>
        </w:rPr>
        <w:t>体现食材本味</w:t>
      </w:r>
      <w:proofErr w:type="gramEnd"/>
      <w:r>
        <w:rPr>
          <w:rFonts w:ascii="仿宋_GB2312" w:eastAsia="仿宋_GB2312" w:hAnsi="仿宋_GB2312" w:cs="仿宋_GB2312" w:hint="eastAsia"/>
          <w:sz w:val="32"/>
          <w:szCs w:val="32"/>
        </w:rPr>
        <w:t>或实现风味的完美融合，无腥、膻、焦糊等异味。</w:t>
      </w:r>
    </w:p>
    <w:p w14:paraId="69108312"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2.香气(15分):</w:t>
      </w:r>
    </w:p>
    <w:p w14:paraId="398145B2"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香气纯正、愉悦、富有吸引力，能</w:t>
      </w:r>
      <w:proofErr w:type="gramStart"/>
      <w:r>
        <w:rPr>
          <w:rFonts w:ascii="仿宋_GB2312" w:eastAsia="仿宋_GB2312" w:hAnsi="仿宋_GB2312" w:cs="仿宋_GB2312" w:hint="eastAsia"/>
          <w:sz w:val="32"/>
          <w:szCs w:val="32"/>
        </w:rPr>
        <w:t>体现食材经</w:t>
      </w:r>
      <w:proofErr w:type="gramEnd"/>
      <w:r>
        <w:rPr>
          <w:rFonts w:ascii="仿宋_GB2312" w:eastAsia="仿宋_GB2312" w:hAnsi="仿宋_GB2312" w:cs="仿宋_GB2312" w:hint="eastAsia"/>
          <w:sz w:val="32"/>
          <w:szCs w:val="32"/>
        </w:rPr>
        <w:t>熬制后产生的特有复合馨香。</w:t>
      </w:r>
    </w:p>
    <w:p w14:paraId="2F5B96AE"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3.色泽与形态(15分):</w:t>
      </w:r>
    </w:p>
    <w:p w14:paraId="67B062F5"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色泽(8分):汤色纯正、自然、清亮或醇厚，符合该类汤品的典型特征，富有光泽。</w:t>
      </w:r>
    </w:p>
    <w:p w14:paraId="74D1315C"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形态(7分):</w:t>
      </w:r>
      <w:proofErr w:type="gramStart"/>
      <w:r>
        <w:rPr>
          <w:rFonts w:ascii="仿宋_GB2312" w:eastAsia="仿宋_GB2312" w:hAnsi="仿宋_GB2312" w:cs="仿宋_GB2312" w:hint="eastAsia"/>
          <w:sz w:val="32"/>
          <w:szCs w:val="32"/>
        </w:rPr>
        <w:t>汤体清澈</w:t>
      </w:r>
      <w:proofErr w:type="gramEnd"/>
      <w:r>
        <w:rPr>
          <w:rFonts w:ascii="仿宋_GB2312" w:eastAsia="仿宋_GB2312" w:hAnsi="仿宋_GB2312" w:cs="仿宋_GB2312" w:hint="eastAsia"/>
          <w:sz w:val="32"/>
          <w:szCs w:val="32"/>
        </w:rPr>
        <w:t>或浓稠度适中，悬浮物分布均匀，无浮沫、杂质。原料形态处理得当。</w:t>
      </w:r>
    </w:p>
    <w:p w14:paraId="185F86E4"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4.传承、创新与产业化潜力(10分):</w:t>
      </w:r>
    </w:p>
    <w:p w14:paraId="23C6A508"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传承与创新(5分):在恪守传统精髓的基础上有合理的改良与创新，或在配方、工艺上具有独特性。</w:t>
      </w:r>
    </w:p>
    <w:p w14:paraId="16B5F355"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产业化潜力(5分):汤品风味稳定，具备明确的消费场景与功能定位，拥有进行标准化、工业化生产与市场转化的潜力。</w:t>
      </w:r>
    </w:p>
    <w:p w14:paraId="5D44CC09" w14:textId="77777777" w:rsidR="00096172" w:rsidRDefault="009C7F7E">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四、评判流程</w:t>
      </w:r>
    </w:p>
    <w:p w14:paraId="33544C0A"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1.赛前会议：比赛前，总裁判长召集全体裁判员会议，讲解评判标准。</w:t>
      </w:r>
    </w:p>
    <w:p w14:paraId="43F5DC25"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2.现场操作评判：裁判员在赛场内巡视，依据“现场操作规范”标准对选手进行观察与记录评分。</w:t>
      </w:r>
    </w:p>
    <w:p w14:paraId="4A0B6057"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3.成品盲评：</w:t>
      </w:r>
    </w:p>
    <w:p w14:paraId="317BCED6"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选手完成的汤品由工作人员统一编号，隐匿所有选手信息后，分送至品鉴区。</w:t>
      </w:r>
    </w:p>
    <w:p w14:paraId="75BAAA6D"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裁判员仅凭编号对汤品进行品鉴，依据“汤品成品质量”标准独立打分。</w:t>
      </w:r>
    </w:p>
    <w:p w14:paraId="15290AC4"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品鉴顺序随机，品鉴不同汤品间需用清水漱口。</w:t>
      </w:r>
    </w:p>
    <w:p w14:paraId="628EBBB8"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4.分数统计：</w:t>
      </w:r>
    </w:p>
    <w:p w14:paraId="18C47CBB"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计分员在监督下，计算每位选手的最终得分。为确保公正，采用去除一个最高分和一个最低分后的平均分为选手最终成绩。</w:t>
      </w:r>
    </w:p>
    <w:p w14:paraId="44F1C137" w14:textId="77777777" w:rsidR="00096172" w:rsidRDefault="009C7F7E">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五、奖项评定</w:t>
      </w:r>
    </w:p>
    <w:p w14:paraId="098E2610"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根据赛事通知，最终得分90分及以上的选手，将获得“2025百家大师汤邀请赛荣誉证书”及奖牌。</w:t>
      </w:r>
    </w:p>
    <w:p w14:paraId="2D56E771"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获奖排名将作为颁发企业顾问聘书及推荐产业转化的重要依据。</w:t>
      </w:r>
    </w:p>
    <w:p w14:paraId="79F9934B" w14:textId="77777777" w:rsidR="00096172" w:rsidRDefault="009C7F7E">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六、附则</w:t>
      </w:r>
    </w:p>
    <w:p w14:paraId="76949BC1" w14:textId="77777777" w:rsidR="00096172" w:rsidRDefault="009C7F7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1.本细则最终解释权归本赛事评判委员会所有。</w:t>
      </w:r>
    </w:p>
    <w:p w14:paraId="370C85FF" w14:textId="1FD82413" w:rsidR="00096172" w:rsidRDefault="009C7F7E" w:rsidP="006E3C1D">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2.比赛过程中</w:t>
      </w:r>
      <w:proofErr w:type="gramStart"/>
      <w:r>
        <w:rPr>
          <w:rFonts w:ascii="仿宋_GB2312" w:eastAsia="仿宋_GB2312" w:hAnsi="仿宋_GB2312" w:cs="仿宋_GB2312"/>
          <w:sz w:val="32"/>
          <w:szCs w:val="32"/>
        </w:rPr>
        <w:t>如遇本细则</w:t>
      </w:r>
      <w:proofErr w:type="gramEnd"/>
      <w:r>
        <w:rPr>
          <w:rFonts w:ascii="仿宋_GB2312" w:eastAsia="仿宋_GB2312" w:hAnsi="仿宋_GB2312" w:cs="仿宋_GB2312"/>
          <w:sz w:val="32"/>
          <w:szCs w:val="32"/>
        </w:rPr>
        <w:t>未尽的特殊情况，由总裁判长召集评委会合议决定。</w:t>
      </w:r>
    </w:p>
    <w:sectPr w:rsidR="0009617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694F" w14:textId="77777777" w:rsidR="00D04B94" w:rsidRDefault="00D04B94">
      <w:r>
        <w:separator/>
      </w:r>
    </w:p>
  </w:endnote>
  <w:endnote w:type="continuationSeparator" w:id="0">
    <w:p w14:paraId="75D34640" w14:textId="77777777" w:rsidR="00D04B94" w:rsidRDefault="00D0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61AD" w14:textId="77777777" w:rsidR="00096172" w:rsidRDefault="009C7F7E">
    <w:pPr>
      <w:pStyle w:val="a3"/>
    </w:pPr>
    <w:r>
      <w:rPr>
        <w:noProof/>
      </w:rPr>
      <mc:AlternateContent>
        <mc:Choice Requires="wps">
          <w:drawing>
            <wp:anchor distT="0" distB="0" distL="114300" distR="114300" simplePos="0" relativeHeight="251659264" behindDoc="0" locked="0" layoutInCell="1" allowOverlap="1" wp14:anchorId="1BE425AC" wp14:editId="1A85EE5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50B39" w14:textId="77777777" w:rsidR="00096172" w:rsidRDefault="009C7F7E">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E425AC"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1F150B39" w14:textId="77777777" w:rsidR="00096172" w:rsidRDefault="009C7F7E">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2C0A" w14:textId="77777777" w:rsidR="00D04B94" w:rsidRDefault="00D04B94">
      <w:r>
        <w:separator/>
      </w:r>
    </w:p>
  </w:footnote>
  <w:footnote w:type="continuationSeparator" w:id="0">
    <w:p w14:paraId="1F546E09" w14:textId="77777777" w:rsidR="00D04B94" w:rsidRDefault="00D04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40E06C5"/>
    <w:rsid w:val="00096172"/>
    <w:rsid w:val="006E3C1D"/>
    <w:rsid w:val="009C7F7E"/>
    <w:rsid w:val="00D04B94"/>
    <w:rsid w:val="00D55FFF"/>
    <w:rsid w:val="240E06C5"/>
    <w:rsid w:val="76FC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0E58A"/>
  <w15:docId w15:val="{0670CFD0-DE75-4333-AAAE-3C95D1C0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TableText">
    <w:name w:val="Table Text"/>
    <w:basedOn w:val="a"/>
    <w:semiHidden/>
    <w:qFormat/>
    <w:rPr>
      <w:rFonts w:ascii="仿宋" w:eastAsia="仿宋" w:hAnsi="仿宋" w:cs="仿宋"/>
      <w:sz w:val="24"/>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有财小仙女</dc:creator>
  <cp:lastModifiedBy>戴</cp:lastModifiedBy>
  <cp:revision>3</cp:revision>
  <cp:lastPrinted>2025-11-11T01:31:00Z</cp:lastPrinted>
  <dcterms:created xsi:type="dcterms:W3CDTF">2025-11-11T02:34:00Z</dcterms:created>
  <dcterms:modified xsi:type="dcterms:W3CDTF">2025-11-11T02:36:00Z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2B5F17F136E145CA80FD779862F03BCD_11</vt:lpwstr>
  </property>
  <property fmtid="{D5CDD505-2E9C-101B-9397-08002B2CF9AE}" pid="4" name="KSOTemplateDocerSaveRecord">
    <vt:lpwstr>eyJoZGlkIjoiZmVjOTI1ODU3NTdlOWJjNDEwNTFkZWE4NzgwZThhNTIiLCJ1c2VySWQiOiIxMjA3NTk2OTQ4In0=</vt:lpwstr>
  </property>
</Properties>
</file>