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DEA3" w14:textId="77777777" w:rsidR="00334FD2" w:rsidRDefault="00000000">
      <w:pPr>
        <w:spacing w:line="520" w:lineRule="exact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附件</w:t>
      </w:r>
      <w:r>
        <w:rPr>
          <w:rFonts w:ascii="仿宋_GB2312" w:eastAsia="仿宋_GB2312" w:hAnsi="等线" w:cs="等线" w:hint="eastAsia"/>
          <w:sz w:val="32"/>
          <w:szCs w:val="32"/>
        </w:rPr>
        <w:t>2</w:t>
      </w:r>
      <w:r>
        <w:rPr>
          <w:rFonts w:ascii="仿宋_GB2312" w:eastAsia="仿宋_GB2312" w:hAnsi="等线" w:cs="等线"/>
          <w:sz w:val="32"/>
          <w:szCs w:val="32"/>
        </w:rPr>
        <w:t>：</w:t>
      </w:r>
    </w:p>
    <w:p w14:paraId="5DD0F3DF" w14:textId="77777777" w:rsidR="00334FD2" w:rsidRDefault="00334FD2">
      <w:pPr>
        <w:spacing w:line="520" w:lineRule="exact"/>
        <w:rPr>
          <w:rFonts w:ascii="仿宋_GB2312" w:eastAsia="仿宋_GB2312" w:hAnsi="等线" w:cs="等线" w:hint="eastAsia"/>
          <w:sz w:val="32"/>
          <w:szCs w:val="32"/>
        </w:rPr>
      </w:pPr>
    </w:p>
    <w:p w14:paraId="342897FD" w14:textId="77777777" w:rsidR="00334FD2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五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届中华药膳烹饪大赛评判细则</w:t>
      </w:r>
    </w:p>
    <w:p w14:paraId="145BA6EB" w14:textId="77777777" w:rsidR="00334FD2" w:rsidRDefault="00334FD2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</w:p>
    <w:p w14:paraId="1B1F4F54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b/>
          <w:bCs/>
          <w:sz w:val="32"/>
          <w:szCs w:val="32"/>
        </w:rPr>
      </w:pPr>
      <w:r>
        <w:rPr>
          <w:rFonts w:ascii="仿宋_GB2312" w:eastAsia="仿宋_GB2312" w:hAnsi="等线" w:cs="等线"/>
          <w:b/>
          <w:bCs/>
          <w:sz w:val="32"/>
          <w:szCs w:val="32"/>
        </w:rPr>
        <w:t>一、作品配伍</w:t>
      </w:r>
    </w:p>
    <w:p w14:paraId="1B3307B5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1.食材（10分）：标明使用的食材、药食</w:t>
      </w:r>
      <w:proofErr w:type="gramStart"/>
      <w:r>
        <w:rPr>
          <w:rFonts w:ascii="仿宋_GB2312" w:eastAsia="仿宋_GB2312" w:hAnsi="等线" w:cs="等线"/>
          <w:sz w:val="32"/>
          <w:szCs w:val="32"/>
        </w:rPr>
        <w:t>同源食材名称</w:t>
      </w:r>
      <w:proofErr w:type="gramEnd"/>
      <w:r>
        <w:rPr>
          <w:rFonts w:ascii="仿宋_GB2312" w:eastAsia="仿宋_GB2312" w:hAnsi="等线" w:cs="等线"/>
          <w:sz w:val="32"/>
          <w:szCs w:val="32"/>
        </w:rPr>
        <w:t>及重量；</w:t>
      </w:r>
    </w:p>
    <w:p w14:paraId="0FBB7B74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2.配伍（40分）：说明作品配伍情况，符合配伍规律基本准则；</w:t>
      </w:r>
    </w:p>
    <w:p w14:paraId="267BDCAC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3.</w:t>
      </w:r>
      <w:proofErr w:type="gramStart"/>
      <w:r>
        <w:rPr>
          <w:rFonts w:ascii="仿宋_GB2312" w:eastAsia="仿宋_GB2312" w:hAnsi="等线" w:cs="等线" w:hint="eastAsia"/>
          <w:sz w:val="32"/>
          <w:szCs w:val="32"/>
        </w:rPr>
        <w:t>康养理念</w:t>
      </w:r>
      <w:proofErr w:type="gramEnd"/>
      <w:r>
        <w:rPr>
          <w:rFonts w:ascii="仿宋_GB2312" w:eastAsia="仿宋_GB2312" w:hAnsi="等线" w:cs="等线"/>
          <w:sz w:val="32"/>
          <w:szCs w:val="32"/>
        </w:rPr>
        <w:t>（30分）：标明</w:t>
      </w:r>
      <w:proofErr w:type="gramStart"/>
      <w:r>
        <w:rPr>
          <w:rFonts w:ascii="仿宋_GB2312" w:eastAsia="仿宋_GB2312" w:hAnsi="等线" w:cs="等线"/>
          <w:sz w:val="32"/>
          <w:szCs w:val="32"/>
        </w:rPr>
        <w:t>作品</w:t>
      </w:r>
      <w:r>
        <w:rPr>
          <w:rFonts w:ascii="仿宋_GB2312" w:eastAsia="仿宋_GB2312" w:hAnsi="等线" w:cs="等线" w:hint="eastAsia"/>
          <w:sz w:val="32"/>
          <w:szCs w:val="32"/>
        </w:rPr>
        <w:t>康养说明</w:t>
      </w:r>
      <w:proofErr w:type="gramEnd"/>
      <w:r>
        <w:rPr>
          <w:rFonts w:ascii="仿宋_GB2312" w:eastAsia="仿宋_GB2312" w:hAnsi="等线" w:cs="等线"/>
          <w:sz w:val="32"/>
          <w:szCs w:val="32"/>
        </w:rPr>
        <w:t>，且符合养生要求；</w:t>
      </w:r>
    </w:p>
    <w:p w14:paraId="78CD698E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4.适合人群和时令（20分）：标明作品适合人群及时令。</w:t>
      </w:r>
    </w:p>
    <w:p w14:paraId="7B5759D4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如使用不符合国家规定的药材，或配伍存在安全性问题，或药膳</w:t>
      </w:r>
      <w:r>
        <w:rPr>
          <w:rFonts w:ascii="仿宋_GB2312" w:eastAsia="仿宋_GB2312" w:hAnsi="等线" w:cs="等线" w:hint="eastAsia"/>
          <w:sz w:val="32"/>
          <w:szCs w:val="32"/>
        </w:rPr>
        <w:t>理念</w:t>
      </w:r>
      <w:r>
        <w:rPr>
          <w:rFonts w:ascii="仿宋_GB2312" w:eastAsia="仿宋_GB2312" w:hAnsi="等线" w:cs="等线"/>
          <w:sz w:val="32"/>
          <w:szCs w:val="32"/>
        </w:rPr>
        <w:t>与适合人群相矛盾，则取消该作品成绩。</w:t>
      </w:r>
    </w:p>
    <w:p w14:paraId="611E13EC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b/>
          <w:bCs/>
          <w:sz w:val="32"/>
          <w:szCs w:val="32"/>
        </w:rPr>
      </w:pPr>
      <w:r>
        <w:rPr>
          <w:rFonts w:ascii="仿宋_GB2312" w:eastAsia="仿宋_GB2312" w:hAnsi="等线" w:cs="等线"/>
          <w:b/>
          <w:bCs/>
          <w:sz w:val="32"/>
          <w:szCs w:val="32"/>
        </w:rPr>
        <w:t>二、口味质感</w:t>
      </w:r>
    </w:p>
    <w:p w14:paraId="59EF32F4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1.味道（40分）：调味得当，主味突出，无糊味、腥膻味、异味等；</w:t>
      </w:r>
    </w:p>
    <w:p w14:paraId="48829BE6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2.质感（40分）：火候得当，质感鲜明，符合其应有的嫩、滑、爽、软、</w:t>
      </w:r>
      <w:proofErr w:type="gramStart"/>
      <w:r>
        <w:rPr>
          <w:rFonts w:ascii="仿宋_GB2312" w:eastAsia="仿宋_GB2312" w:hAnsi="等线" w:cs="等线"/>
          <w:sz w:val="32"/>
          <w:szCs w:val="32"/>
        </w:rPr>
        <w:t>糯</w:t>
      </w:r>
      <w:proofErr w:type="gramEnd"/>
      <w:r>
        <w:rPr>
          <w:rFonts w:ascii="仿宋_GB2312" w:eastAsia="仿宋_GB2312" w:hAnsi="等线" w:cs="等线"/>
          <w:sz w:val="32"/>
          <w:szCs w:val="32"/>
        </w:rPr>
        <w:t>、烂、酥、松、脆等特点；</w:t>
      </w:r>
    </w:p>
    <w:p w14:paraId="55A3978D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3.呈现（20分）：色泽明亮，色彩鲜明、搭配和谐，菜 肴在餐具中的构图比例、布局关系和谐，具有现代艺术观赏性，富有食欲和视觉冲击力。</w:t>
      </w:r>
    </w:p>
    <w:p w14:paraId="7FF9E39F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b/>
          <w:bCs/>
          <w:sz w:val="32"/>
          <w:szCs w:val="32"/>
        </w:rPr>
      </w:pPr>
      <w:r>
        <w:rPr>
          <w:rFonts w:ascii="仿宋_GB2312" w:eastAsia="仿宋_GB2312" w:hAnsi="等线" w:cs="等线"/>
          <w:b/>
          <w:bCs/>
          <w:sz w:val="32"/>
          <w:szCs w:val="32"/>
        </w:rPr>
        <w:t>三、评分方法</w:t>
      </w:r>
    </w:p>
    <w:p w14:paraId="309E3E14" w14:textId="77777777" w:rsidR="00334FD2" w:rsidRDefault="00000000">
      <w:pPr>
        <w:spacing w:line="520" w:lineRule="exact"/>
        <w:ind w:firstLineChars="200" w:firstLine="640"/>
        <w:rPr>
          <w:rFonts w:ascii="仿宋_GB2312" w:eastAsia="仿宋_GB2312" w:hAnsi="等线" w:cs="等线" w:hint="eastAsia"/>
          <w:sz w:val="32"/>
          <w:szCs w:val="32"/>
        </w:rPr>
      </w:pPr>
      <w:r>
        <w:rPr>
          <w:rFonts w:ascii="仿宋_GB2312" w:eastAsia="仿宋_GB2312" w:hAnsi="等线" w:cs="等线"/>
          <w:sz w:val="32"/>
          <w:szCs w:val="32"/>
        </w:rPr>
        <w:t>作品成绩由作品配伍（50%）、口味质感（50%）成绩之和组成</w:t>
      </w:r>
      <w:r>
        <w:rPr>
          <w:rFonts w:ascii="仿宋_GB2312" w:eastAsia="仿宋_GB2312" w:hAnsi="等线" w:cs="等线" w:hint="eastAsia"/>
          <w:sz w:val="32"/>
          <w:szCs w:val="32"/>
        </w:rPr>
        <w:t>，参赛团队成绩由3款作品成绩之和组成。</w:t>
      </w:r>
    </w:p>
    <w:p w14:paraId="0342D984" w14:textId="77777777" w:rsidR="00334FD2" w:rsidRDefault="00334FD2" w:rsidP="002460AB">
      <w:pPr>
        <w:spacing w:line="520" w:lineRule="exact"/>
        <w:ind w:right="32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34F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3945" w14:textId="77777777" w:rsidR="00E51B94" w:rsidRDefault="00E51B94">
      <w:r>
        <w:separator/>
      </w:r>
    </w:p>
  </w:endnote>
  <w:endnote w:type="continuationSeparator" w:id="0">
    <w:p w14:paraId="0088A2B1" w14:textId="77777777" w:rsidR="00E51B94" w:rsidRDefault="00E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150B" w14:textId="77777777" w:rsidR="00334FD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A2DB3" wp14:editId="3CB82C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F9B06" w14:textId="77777777" w:rsidR="00334FD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2DB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9F9B06" w14:textId="77777777" w:rsidR="00334FD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60A2" w14:textId="77777777" w:rsidR="00E51B94" w:rsidRDefault="00E51B94">
      <w:r>
        <w:separator/>
      </w:r>
    </w:p>
  </w:footnote>
  <w:footnote w:type="continuationSeparator" w:id="0">
    <w:p w14:paraId="6C3189A2" w14:textId="77777777" w:rsidR="00E51B94" w:rsidRDefault="00E5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CF2B7F"/>
    <w:rsid w:val="00240AD9"/>
    <w:rsid w:val="002460AB"/>
    <w:rsid w:val="00301C35"/>
    <w:rsid w:val="00334FD2"/>
    <w:rsid w:val="004C5F3F"/>
    <w:rsid w:val="0064251D"/>
    <w:rsid w:val="00897605"/>
    <w:rsid w:val="00E51B94"/>
    <w:rsid w:val="5ECF2B7F"/>
    <w:rsid w:val="5F686849"/>
    <w:rsid w:val="67C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6C19D"/>
  <w15:docId w15:val="{8EE442EE-1065-477C-970C-9B19371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dai dai</cp:lastModifiedBy>
  <cp:revision>3</cp:revision>
  <cp:lastPrinted>2025-09-02T01:28:00Z</cp:lastPrinted>
  <dcterms:created xsi:type="dcterms:W3CDTF">2025-09-02T12:53:00Z</dcterms:created>
  <dcterms:modified xsi:type="dcterms:W3CDTF">2025-09-02T12:55:00Z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DB6AFEF16C52418998868B2BE594DD26_11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