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B36" w14:textId="77777777" w:rsidR="00ED1F56" w:rsidRDefault="00DE7FE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附件1：</w:t>
      </w:r>
    </w:p>
    <w:p w14:paraId="679B053E" w14:textId="77777777" w:rsidR="00ED1F56" w:rsidRDefault="00ED1F56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1251AAD" w14:textId="77777777" w:rsidR="00ED1F56" w:rsidRDefault="00DE7FE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2025第五届中华药膳烹饪大赛（厦门站）</w:t>
      </w:r>
    </w:p>
    <w:p w14:paraId="477D420D" w14:textId="77777777" w:rsidR="00ED1F56" w:rsidRDefault="00DE7FE2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评判细则</w:t>
      </w:r>
    </w:p>
    <w:p w14:paraId="2B5BD972" w14:textId="77777777" w:rsidR="00ED1F56" w:rsidRDefault="00ED1F56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DB1B364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为确保2025第五届中华药膳烹饪大赛（厦门站）公平、公正，特制定以下评判细则：</w:t>
      </w:r>
    </w:p>
    <w:p w14:paraId="253C0063" w14:textId="77777777" w:rsidR="00ED1F56" w:rsidRDefault="00DE7FE2">
      <w:pPr>
        <w:spacing w:line="4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一、比赛说明</w:t>
      </w:r>
    </w:p>
    <w:p w14:paraId="09E78F97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（一）裁判委员会由主办单位邀请在中医药学、中药学、营养学、食品科学、烹饪等相关领域具有较高学术造诣和良好声誉的专家组成。</w:t>
      </w:r>
    </w:p>
    <w:p w14:paraId="137C3B1F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（二）比赛需自备比赛食材（含主料、辅料），原料严格实行“三不”原则，即不使用燕窝、干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、鱼翅等高档原料，不使用国家明令禁止或保护的动植物，不违规使用添加剂。组委会提供基础性调味品：油、盐、白糖、胡椒粉、淀粉、面粉、鸡粉等调料，其他调味料由选手自备。自备原料需符合以下规定：</w:t>
      </w:r>
    </w:p>
    <w:p w14:paraId="1FF4CEA2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蔬菜：可洗净，剥皮，不能切割，未经制熟；</w:t>
      </w:r>
    </w:p>
    <w:p w14:paraId="0DA7E370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鱼类：可去除内脏和鳞片，但不可改刀；</w:t>
      </w:r>
    </w:p>
    <w:p w14:paraId="7CCCF735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贝类：可洗净，需连壳，未经制熟；</w:t>
      </w:r>
    </w:p>
    <w:p w14:paraId="5E349CF2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甲壳类：生鲜或煮熟，但不可剥开；</w:t>
      </w:r>
    </w:p>
    <w:p w14:paraId="2375D0F3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鲜肉或家禽肉类：肉可去骨，但不可切割；骨头可以切割成小块；</w:t>
      </w:r>
    </w:p>
    <w:p w14:paraId="79DDB65E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汤底：基本汤底，未经浓缩和调味，原味，未加配料和调味剂；</w:t>
      </w:r>
    </w:p>
    <w:p w14:paraId="49AA27EA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干货食材：可涨发好，但必须在比赛现场调味及烹制。</w:t>
      </w:r>
    </w:p>
    <w:p w14:paraId="1FCA07EA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（二）赛场水电配套齐全，提供灶具、炒锅、手勺、漏勺、砧板（菜墩）、料碗（马斗）等基础烹饪用具。提供基础调辅料，原料、餐具及特殊调辅料、器具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须选手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自备，盛器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（背面底部写名字，赛后领取）。厨师操作全过程佩戴口罩、手套，做好消毒卫生。</w:t>
      </w:r>
    </w:p>
    <w:p w14:paraId="249E4F8F" w14:textId="77777777" w:rsidR="00ED1F56" w:rsidRDefault="00DE7FE2">
      <w:pPr>
        <w:spacing w:line="4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二、个人赛评判标准</w:t>
      </w:r>
    </w:p>
    <w:p w14:paraId="685EF996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按照作品配伍、口味质感两个方面进行评判，满分100分。</w:t>
      </w:r>
    </w:p>
    <w:p w14:paraId="1E99EB20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/>
          <w:sz w:val="32"/>
          <w:szCs w:val="32"/>
        </w:rPr>
        <w:t>作品配伍</w:t>
      </w:r>
    </w:p>
    <w:p w14:paraId="11DDF93A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食材（5分）：标明使用的食材、药食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同源食材名称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及重量；</w:t>
      </w:r>
    </w:p>
    <w:p w14:paraId="0BAEEE4E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配伍（20分）：说明作品配伍情况，符合配伍规律基本准则；</w:t>
      </w:r>
    </w:p>
    <w:p w14:paraId="50F8DDB5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药膳功效（15分）：标明作品营养功效，且符合养生要求；</w:t>
      </w:r>
    </w:p>
    <w:p w14:paraId="765E4B82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  <w:szCs w:val="32"/>
        </w:rPr>
        <w:t>适合人群和时令（10分）：标明作品适合人群及时令。</w:t>
      </w:r>
    </w:p>
    <w:p w14:paraId="1A83A381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如使用不符合国家规定的药材，或配伍存在安全性问题，或药膳功效与适合人群相矛盾，则取消该作品成绩。</w:t>
      </w:r>
    </w:p>
    <w:p w14:paraId="47244748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口味质感</w:t>
      </w:r>
    </w:p>
    <w:p w14:paraId="55CF7091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味道（20分）：调味得当，主味突出，无糊味、腥膻味、异味等；</w:t>
      </w:r>
    </w:p>
    <w:p w14:paraId="121E5B99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质感（20分）：火候得当，质感鲜明，符合其应有的嫩、滑、爽、软、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糯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、烂、酥、松、脆等特点；</w:t>
      </w:r>
    </w:p>
    <w:p w14:paraId="31ACA5CB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 xml:space="preserve">呈现（10分）：色泽明亮，色彩鲜明、搭配和谐，菜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肴在餐具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中的构图比例、布局关系和谐，具有现代艺术观赏性，富有食欲和视觉冲击力。</w:t>
      </w:r>
    </w:p>
    <w:p w14:paraId="476132D7" w14:textId="77777777" w:rsidR="00ED1F56" w:rsidRDefault="00DE7FE2">
      <w:pPr>
        <w:spacing w:line="4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三、团体赛评判标准</w:t>
      </w:r>
    </w:p>
    <w:p w14:paraId="76E830A1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宴席展台环节按宴席主题和宴席呈现两方面进行评定，总分为100分。</w:t>
      </w:r>
    </w:p>
    <w:p w14:paraId="449E781D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/>
          <w:sz w:val="32"/>
          <w:szCs w:val="32"/>
        </w:rPr>
        <w:t>宴席主题（50分）：宴席药膳主题突出，立意新颖独特、有创意，富有地方饮食文化特色；</w:t>
      </w:r>
    </w:p>
    <w:p w14:paraId="0E72D278" w14:textId="77777777" w:rsidR="00ED1F56" w:rsidRDefault="00DE7FE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宴席效果（50分）：台型设计合理，台面装饰艺术美观，摆放得当，体现主题。</w:t>
      </w:r>
    </w:p>
    <w:sectPr w:rsidR="00ED1F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06A6" w14:textId="77777777" w:rsidR="000D4C74" w:rsidRDefault="000D4C74">
      <w:r>
        <w:separator/>
      </w:r>
    </w:p>
  </w:endnote>
  <w:endnote w:type="continuationSeparator" w:id="0">
    <w:p w14:paraId="5A41798C" w14:textId="77777777" w:rsidR="000D4C74" w:rsidRDefault="000D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AFF" w14:textId="77777777" w:rsidR="00ED1F56" w:rsidRDefault="00DE7F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3DC58" wp14:editId="0CB8F3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1BBE2" w14:textId="77777777" w:rsidR="00ED1F56" w:rsidRDefault="00DE7FE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DC5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E61BBE2" w14:textId="77777777" w:rsidR="00ED1F56" w:rsidRDefault="00DE7FE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C54B" w14:textId="77777777" w:rsidR="000D4C74" w:rsidRDefault="000D4C74">
      <w:r>
        <w:separator/>
      </w:r>
    </w:p>
  </w:footnote>
  <w:footnote w:type="continuationSeparator" w:id="0">
    <w:p w14:paraId="69526E33" w14:textId="77777777" w:rsidR="000D4C74" w:rsidRDefault="000D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3D463D"/>
    <w:rsid w:val="000D4C74"/>
    <w:rsid w:val="00DE0437"/>
    <w:rsid w:val="00DE7FE2"/>
    <w:rsid w:val="00ED1F56"/>
    <w:rsid w:val="00F555E6"/>
    <w:rsid w:val="0CEF15D4"/>
    <w:rsid w:val="1F542DCA"/>
    <w:rsid w:val="269A6465"/>
    <w:rsid w:val="2C3D463D"/>
    <w:rsid w:val="461F4FB8"/>
    <w:rsid w:val="4D4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6E4F7C"/>
  <w15:docId w15:val="{C65A23B2-CC3A-4A4E-A8E0-CC37FAB5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dcterms:created xsi:type="dcterms:W3CDTF">2025-07-03T05:24:00Z</dcterms:created>
  <dcterms:modified xsi:type="dcterms:W3CDTF">2025-07-03T06:16:00Z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15595AB2CECA4523962826A45C5C382F_11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