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pacing w:val="11"/>
          <w:sz w:val="32"/>
          <w:szCs w:val="32"/>
        </w:rPr>
      </w:pPr>
      <w:bookmarkStart w:id="28" w:name="_GoBack"/>
      <w:bookmarkEnd w:id="28"/>
      <w:r>
        <w:rPr>
          <w:rFonts w:hint="eastAsia" w:ascii="仿宋_GB2312" w:hAnsi="仿宋" w:eastAsia="仿宋_GB2312"/>
          <w:spacing w:val="11"/>
          <w:sz w:val="32"/>
          <w:szCs w:val="32"/>
        </w:rPr>
        <w:t>附件3:</w:t>
      </w:r>
    </w:p>
    <w:p>
      <w:pPr>
        <w:spacing w:line="2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23"/>
        <w:spacing w:line="580" w:lineRule="exact"/>
        <w:ind w:firstLine="0" w:firstLineChars="0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 xml:space="preserve"> 2023年粤港澳烹饪邀请赛</w:t>
      </w:r>
    </w:p>
    <w:p>
      <w:pPr>
        <w:pStyle w:val="23"/>
        <w:spacing w:line="580" w:lineRule="exact"/>
        <w:ind w:firstLine="0" w:firstLineChars="0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技术工作文件</w:t>
      </w:r>
    </w:p>
    <w:p>
      <w:pPr>
        <w:rPr>
          <w:rFonts w:ascii="Helvetica" w:hAnsi="Helvetica" w:eastAsia="Helvetica" w:cs="Helvetica"/>
          <w:color w:val="333333"/>
          <w:sz w:val="16"/>
          <w:szCs w:val="16"/>
          <w:shd w:val="clear" w:color="auto" w:fill="FFFFFF"/>
        </w:rPr>
      </w:pPr>
      <w:bookmarkStart w:id="0" w:name="_Toc326344953"/>
      <w:bookmarkStart w:id="1" w:name="_Toc117284672"/>
      <w:bookmarkStart w:id="2" w:name="_Toc481313996"/>
      <w:bookmarkStart w:id="3" w:name="_Toc481312693"/>
      <w:bookmarkStart w:id="4" w:name="_Toc530340396"/>
    </w:p>
    <w:p>
      <w:pPr>
        <w:pStyle w:val="5"/>
        <w:adjustRightInd w:val="0"/>
        <w:snapToGrid w:val="0"/>
        <w:ind w:firstLine="642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1.1</w:t>
      </w:r>
      <w:bookmarkEnd w:id="0"/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宋体"/>
        </w:rPr>
        <w:t>项目描述</w:t>
      </w:r>
      <w:bookmarkEnd w:id="1"/>
      <w:bookmarkEnd w:id="2"/>
      <w:bookmarkEnd w:id="3"/>
      <w:bookmarkEnd w:id="4"/>
      <w:r>
        <w:rPr>
          <w:rFonts w:ascii="仿宋" w:hAnsi="仿宋" w:eastAsia="仿宋"/>
        </w:rPr>
        <w:t xml:space="preserve"> </w:t>
      </w:r>
    </w:p>
    <w:p>
      <w:pPr>
        <w:adjustRightInd w:val="0"/>
        <w:snapToGrid w:val="0"/>
        <w:spacing w:line="360" w:lineRule="auto"/>
        <w:ind w:firstLine="482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本次竞赛内容、技术要求均依据《国家职业标准》中式烹调师三级标准的相关内容要求执行，选手应具备中式烹调师三级(高级工）的基本素质，遵守职业道德和职业守则，掌握食品原料知识、营养卫生知识、安全生产知识,能够正确使用设备和工具、安全生产。竞赛采用现场实际操作的方式进行，要求选手在现场以指定食材结合四新技术,能够运用适当的加工方法，根据菜品要求独立完成制作。</w:t>
      </w:r>
    </w:p>
    <w:p>
      <w:pPr>
        <w:pStyle w:val="5"/>
        <w:adjustRightInd w:val="0"/>
        <w:snapToGrid w:val="0"/>
        <w:ind w:firstLine="642" w:firstLineChars="200"/>
        <w:rPr>
          <w:rFonts w:ascii="仿宋" w:hAnsi="仿宋" w:eastAsia="仿宋"/>
        </w:rPr>
      </w:pPr>
      <w:bookmarkStart w:id="5" w:name="_Toc481313997"/>
      <w:bookmarkStart w:id="6" w:name="_Toc530340397"/>
      <w:bookmarkStart w:id="7" w:name="_Toc117284673"/>
      <w:r>
        <w:rPr>
          <w:rFonts w:ascii="仿宋" w:hAnsi="仿宋" w:eastAsia="仿宋"/>
        </w:rPr>
        <w:t>1.2</w:t>
      </w:r>
      <w:bookmarkEnd w:id="5"/>
      <w:bookmarkEnd w:id="6"/>
      <w:bookmarkStart w:id="8" w:name="_Toc530340399"/>
      <w:bookmarkStart w:id="9" w:name="_Toc481313999"/>
      <w:r>
        <w:rPr>
          <w:rFonts w:hint="eastAsia" w:ascii="仿宋" w:hAnsi="仿宋" w:eastAsia="仿宋"/>
        </w:rPr>
        <w:t>基本知识与能力</w:t>
      </w:r>
      <w:bookmarkEnd w:id="8"/>
      <w:bookmarkEnd w:id="9"/>
      <w:r>
        <w:rPr>
          <w:rFonts w:hint="eastAsia" w:ascii="仿宋" w:hAnsi="仿宋" w:eastAsia="仿宋"/>
        </w:rPr>
        <w:t>要求</w:t>
      </w:r>
      <w:bookmarkEnd w:id="7"/>
      <w:r>
        <w:rPr>
          <w:rFonts w:hint="eastAsia" w:ascii="仿宋" w:hAnsi="仿宋" w:eastAsia="仿宋"/>
        </w:rPr>
        <w:t xml:space="preserve">  </w:t>
      </w:r>
    </w:p>
    <w:tbl>
      <w:tblPr>
        <w:tblStyle w:val="12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560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相关要求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权重比例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现场操作考生素质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操作流程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技法得当，动作规范，流程合理，投料准确。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原料加工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用料符合要求，操作熟练，加工规范，原料利用率高。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卫生安全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操作区域整洁干净，注重垃圾分类，废弃物处理得当，原料及作品存放合理。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节能减排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约用水</w:t>
            </w:r>
            <w:r>
              <w:rPr>
                <w:rFonts w:hint="eastAsia" w:ascii="Times New Roman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用电</w:t>
            </w:r>
            <w:r>
              <w:rPr>
                <w:rFonts w:hint="eastAsia" w:ascii="Times New Roman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用气</w:t>
            </w:r>
            <w:r>
              <w:rPr>
                <w:rFonts w:hint="eastAsia" w:ascii="Times New Roman" w:cs="Times New Roman"/>
                <w:sz w:val="24"/>
              </w:rPr>
              <w:t>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成品质量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口味与质感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调味得当，口味纯正，主味突出，质感软嫩、滑爽。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工艺与火候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成熟恰当，火候适宜，主辅料配比合理，特点鲜明，工艺方法准确。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创意与实用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注重营养，设计合理，创意突出，适合推广。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形态与色泽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造型美观，粗细适度、均匀一致，无连刀、无大小头、无碎粒；色泽洁白、光亮，芡汁适量。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装盘与卫生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盛装自然，盘面清洁，生熟分开。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100</w:t>
            </w:r>
          </w:p>
        </w:tc>
      </w:tr>
    </w:tbl>
    <w:p>
      <w:pPr>
        <w:pStyle w:val="4"/>
        <w:adjustRightInd w:val="0"/>
        <w:snapToGrid w:val="0"/>
        <w:spacing w:before="240" w:beforeLines="0" w:afterLines="0" w:line="360" w:lineRule="auto"/>
        <w:ind w:firstLine="602" w:firstLineChars="200"/>
        <w:rPr>
          <w:rFonts w:ascii="仿宋" w:hAnsi="仿宋" w:eastAsia="仿宋"/>
          <w:sz w:val="30"/>
          <w:szCs w:val="30"/>
        </w:rPr>
      </w:pPr>
      <w:bookmarkStart w:id="10" w:name="_Toc481314000"/>
      <w:bookmarkStart w:id="11" w:name="_Toc530340400"/>
      <w:bookmarkStart w:id="12" w:name="_Toc117284674"/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竞赛项目</w:t>
      </w:r>
      <w:bookmarkEnd w:id="10"/>
      <w:bookmarkEnd w:id="11"/>
      <w:bookmarkEnd w:id="12"/>
    </w:p>
    <w:p>
      <w:pPr>
        <w:tabs>
          <w:tab w:val="left" w:pos="5162"/>
        </w:tabs>
        <w:jc w:val="center"/>
        <w:rPr>
          <w:rFonts w:ascii="仿宋" w:hAnsi="仿宋" w:eastAsia="仿宋"/>
          <w:sz w:val="24"/>
        </w:rPr>
      </w:pPr>
      <w:bookmarkStart w:id="13" w:name="_Toc530340402"/>
      <w:bookmarkStart w:id="14" w:name="_Toc117284677"/>
      <w:bookmarkStart w:id="15" w:name="_Toc481314002"/>
      <w:r>
        <w:rPr>
          <w:rFonts w:hint="eastAsia" w:ascii="仿宋" w:hAnsi="仿宋" w:eastAsia="仿宋"/>
          <w:sz w:val="24"/>
        </w:rPr>
        <w:t>考核内容及权重表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675"/>
        <w:gridCol w:w="1188"/>
        <w:gridCol w:w="1065"/>
        <w:gridCol w:w="109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</w:trPr>
        <w:tc>
          <w:tcPr>
            <w:tcW w:w="2148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sz w:val="24"/>
              </w:rPr>
              <w:t>考核模块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sz w:val="24"/>
              </w:rPr>
              <w:t>内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容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时间分配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分值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权 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重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折算分值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模块A</w:t>
            </w:r>
          </w:p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考生素质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现场操作技术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-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100分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20%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8" w:type="dxa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模块B</w:t>
            </w:r>
          </w:p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实操指定菜式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香滑鲈鱼球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40分钟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100分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30%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模块C</w:t>
            </w:r>
          </w:p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实操指定原料菜式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以鸡为原料烹调菜肴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55分钟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100分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25%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模块D</w:t>
            </w:r>
          </w:p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实操自选菜式</w:t>
            </w:r>
          </w:p>
        </w:tc>
        <w:tc>
          <w:tcPr>
            <w:tcW w:w="167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符合高级工技能自选菜肴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55分钟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100分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25%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23" w:type="dxa"/>
            <w:gridSpan w:val="2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比赛总用时</w:t>
            </w:r>
          </w:p>
        </w:tc>
        <w:tc>
          <w:tcPr>
            <w:tcW w:w="1188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150分钟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100%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5162"/>
              </w:tabs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100分</w:t>
            </w:r>
          </w:p>
        </w:tc>
      </w:tr>
      <w:bookmarkEnd w:id="13"/>
      <w:bookmarkEnd w:id="14"/>
      <w:bookmarkEnd w:id="15"/>
    </w:tbl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bookmarkStart w:id="16" w:name="_Toc481314004"/>
      <w:bookmarkStart w:id="17" w:name="_Toc117284678"/>
      <w:bookmarkStart w:id="18" w:name="_Toc530340404"/>
      <w:r>
        <w:rPr>
          <w:rFonts w:hint="eastAsia" w:ascii="仿宋" w:hAnsi="仿宋" w:eastAsia="仿宋" w:cs="Times New Roman"/>
          <w:sz w:val="24"/>
        </w:rPr>
        <w:t>模块A：实操现场考生素质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技法得当、动作规范、流程合理、投料准确，用料符合要求、操作熟练、加工规范、原料利用率高，操作区域整洁干净、注重垃圾分类和节能减排、废弃物处理得当原料及作品存放合理。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模块B：指定菜式香滑鲈鱼球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（1）选手一律使用现场组委会提供的鲈鱼半条、生姜25克、葱5克进行指定菜式制作，制作出的菜式需满足6人食用量，另备3人量尝碟供评委品尝。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（2）所有刀工成型、腌制入味、打胶、加温、调味、装盘等操作过程，必须在赛场内完成，不得使用自选菜自备的材料进行替换，赛场提供常用调味料，特殊调料由选手自备。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（3）成品鱼球刀工整齐，大小厚薄均匀；爽滑鲜嫩，色泽洁白，熟度恰当；成芡均匀、油亮，不澥芡、不澥油；料头美观、准确；味道鲜美，入味。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模块C：以鸡为指定原料菜式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使用组委会为每位选手现场提供的统一原料鸡为主原材料，不限烹调方法，结合创新方法制作指定原料菜肴。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（1）选手须融合地方文化，结合创新的烹饪技法，制作出的菜式需满足6人食用量，另备3人量尝碟供评委品尝，位菜需制作4份，另备3人量供评委品尝。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（2）特殊调料及辅料由选手自带，辅料可以在场外加工成型，但不得入味，所有腌制调味过程必须在场内完成。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（3）烹调方法不限，注重实用性、大众化，有一定创新意识。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模块D：自选菜肴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不限原料和烹调方法，烹制符合高级工技能要求的自选菜式，选用的原材料由参赛者自备。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（1）菜肴的烹调技法和味型不作限定，应体现粤菜饮食风味特色，制作出的菜式需满足6人食用量，另备3人量尝碟供评委品尝，位菜需制作4份，另备3人量供评委品尝。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（2）特殊调料及辅料由选手自带，辅料可以在场外加工成型，但不得入味，所有腌制调味过程必须在场内完成。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（3）烹调方法不限，注重实用性、大众化，有一定创新意识。但菜品不能与另外两道菜肴作品相同。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备注：所有展示成品的盛装餐具和品尝碟由选手自备；盘头装饰选手自备，可在场外完成，不能过分铺装，喧宾夺主。</w:t>
      </w:r>
    </w:p>
    <w:bookmarkEnd w:id="16"/>
    <w:bookmarkEnd w:id="17"/>
    <w:bookmarkEnd w:id="18"/>
    <w:p>
      <w:pPr>
        <w:pStyle w:val="4"/>
        <w:adjustRightInd w:val="0"/>
        <w:snapToGrid w:val="0"/>
        <w:spacing w:beforeLines="0" w:afterLines="0" w:line="360" w:lineRule="auto"/>
        <w:ind w:firstLine="602" w:firstLineChars="200"/>
        <w:rPr>
          <w:rFonts w:ascii="仿宋" w:hAnsi="仿宋" w:eastAsia="仿宋"/>
          <w:sz w:val="30"/>
          <w:szCs w:val="30"/>
        </w:rPr>
      </w:pPr>
      <w:bookmarkStart w:id="19" w:name="_Toc530340407"/>
      <w:bookmarkStart w:id="20" w:name="_Toc117284679"/>
      <w:bookmarkStart w:id="21" w:name="_Toc481314005"/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评分规则</w:t>
      </w:r>
      <w:bookmarkEnd w:id="19"/>
      <w:bookmarkEnd w:id="20"/>
      <w:bookmarkEnd w:id="21"/>
    </w:p>
    <w:p>
      <w:pPr>
        <w:pStyle w:val="5"/>
        <w:adjustRightInd w:val="0"/>
        <w:snapToGrid w:val="0"/>
        <w:ind w:firstLine="642" w:firstLineChars="200"/>
        <w:rPr>
          <w:rFonts w:ascii="仿宋" w:hAnsi="仿宋" w:eastAsia="仿宋"/>
        </w:rPr>
      </w:pPr>
      <w:bookmarkStart w:id="22" w:name="_Toc117284680"/>
      <w:bookmarkStart w:id="23" w:name="_Toc530340408"/>
      <w:bookmarkStart w:id="24" w:name="_Toc481314006"/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.1 </w:t>
      </w:r>
      <w:r>
        <w:rPr>
          <w:rFonts w:hint="eastAsia" w:ascii="仿宋" w:hAnsi="仿宋" w:eastAsia="仿宋"/>
        </w:rPr>
        <w:t>评价分</w:t>
      </w:r>
      <w:bookmarkEnd w:id="22"/>
      <w:bookmarkEnd w:id="23"/>
      <w:bookmarkEnd w:id="24"/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评分方案详细规定了需要评估的每个单项的分值。本赛项目评分通过主观评分方式得出，即每名选手由十一名裁判员组成裁判组进行评判，前场两名裁判员和后场九名裁判员（每三名裁判为一组，分别对指定菜式、指定原料菜式、自选菜式打分，三组裁判员分别对应一款菜式评分项评分），前场两名裁判员的成绩平均分</w:t>
      </w:r>
      <w:r>
        <w:rPr>
          <w:rFonts w:ascii="仿宋" w:hAnsi="仿宋" w:eastAsia="仿宋" w:cs="Times New Roman"/>
          <w:sz w:val="24"/>
        </w:rPr>
        <w:t>×</w:t>
      </w:r>
      <w:r>
        <w:rPr>
          <w:rFonts w:hint="eastAsia" w:ascii="仿宋" w:hAnsi="仿宋" w:eastAsia="仿宋" w:cs="Times New Roman"/>
          <w:sz w:val="24"/>
        </w:rPr>
        <w:t>20%+后场九名裁判员的成绩平均分</w:t>
      </w:r>
      <w:r>
        <w:rPr>
          <w:rFonts w:ascii="仿宋" w:hAnsi="仿宋" w:eastAsia="仿宋" w:cs="Times New Roman"/>
          <w:sz w:val="24"/>
        </w:rPr>
        <w:t>×</w:t>
      </w:r>
      <w:r>
        <w:rPr>
          <w:rFonts w:hint="eastAsia" w:ascii="仿宋" w:hAnsi="仿宋" w:eastAsia="仿宋" w:cs="Times New Roman"/>
          <w:sz w:val="24"/>
        </w:rPr>
        <w:t>80%为参赛选手的实际得分。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（1）前场裁判员评分标准：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A.操作流程（30分），技法得当，动作娴熟，流程合理，投料准确，操作安全规范，节约用水、用电、用气。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B.原料加工（30分），用料符合要求，操作熟练，加工规范，原料利用率高。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C.卫生安全（10分），操作区域整洁干净，注重卫生，废弃物处理得当，原料及作品存放合理。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D.赛场纪律（20分），服从指挥、不做出干扰其他选手的行为。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E.仪容仪表（10分），穿戴工作服、工作帽、及仪容仪表要整洁。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F.操作违规扣分：</w:t>
      </w:r>
    </w:p>
    <w:tbl>
      <w:tblPr>
        <w:tblStyle w:val="1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524"/>
        <w:gridCol w:w="1896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违规内容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扣分标准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违规内容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扣分标准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  时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5分钟内扣1分；超5分钟每分钟扣1分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失败重做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带成品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操作事故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带半成品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10分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消防事故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不关火、长流水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个人不卫生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浪费原料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操作不卫生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多做挑选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赛毕不打扫卫生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违规使用添加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5分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不进行垃圾分类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不服从指挥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（严重者终止比赛）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操作时拍照</w:t>
            </w:r>
          </w:p>
        </w:tc>
        <w:tc>
          <w:tcPr>
            <w:tcW w:w="23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3分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（2）后场裁判评分标准：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A.口味与质感（40分），调味得当，口味纯正，主味突出，无异味，质感符合应有要求，体现地方特色。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B.工艺与火候（30分），成熟恰当，火候适宜，主辅料配比合理，特点鲜明，技法准确。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C.创意与实用（10分），注重营养，设计合理，创意突出，适合推广。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D.形态与色泽（10分），造型美观，粗细适度、均匀一致，无连刀、无大小头、无碎粒；色泽洁白、光亮，芡汁适量。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Times New Roman"/>
          <w:sz w:val="24"/>
        </w:rPr>
        <w:t>E.装盘与卫生（10分），盛装自然，盘面清洁，生熟分开。</w:t>
      </w:r>
    </w:p>
    <w:p>
      <w:pPr>
        <w:pStyle w:val="5"/>
        <w:adjustRightInd w:val="0"/>
        <w:snapToGrid w:val="0"/>
        <w:ind w:firstLine="642" w:firstLineChars="200"/>
        <w:rPr>
          <w:rFonts w:ascii="仿宋" w:hAnsi="仿宋" w:eastAsia="仿宋"/>
        </w:rPr>
      </w:pPr>
      <w:bookmarkStart w:id="25" w:name="_Toc530340410"/>
      <w:bookmarkStart w:id="26" w:name="_Toc117284681"/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2 统分方法</w:t>
      </w:r>
      <w:bookmarkEnd w:id="25"/>
      <w:bookmarkEnd w:id="26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按照</w:t>
      </w:r>
      <w:r>
        <w:rPr>
          <w:rFonts w:ascii="仿宋" w:hAnsi="仿宋" w:eastAsia="仿宋" w:cs="宋体"/>
          <w:kern w:val="0"/>
          <w:sz w:val="24"/>
        </w:rPr>
        <w:t>统一格式，</w:t>
      </w:r>
      <w:r>
        <w:rPr>
          <w:rFonts w:hint="eastAsia" w:ascii="仿宋" w:hAnsi="仿宋" w:eastAsia="仿宋" w:cs="宋体"/>
          <w:kern w:val="0"/>
          <w:sz w:val="24"/>
        </w:rPr>
        <w:t>工作人员协助汇总结果，由裁判长及裁判员核分确认。</w:t>
      </w:r>
    </w:p>
    <w:p>
      <w:pPr>
        <w:pStyle w:val="5"/>
        <w:adjustRightInd w:val="0"/>
        <w:snapToGrid w:val="0"/>
        <w:ind w:firstLine="642" w:firstLineChars="200"/>
        <w:rPr>
          <w:rFonts w:ascii="仿宋" w:hAnsi="仿宋" w:eastAsia="仿宋"/>
        </w:rPr>
      </w:pPr>
      <w:bookmarkStart w:id="27" w:name="_Toc117284682"/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成绩并列排序方法</w:t>
      </w:r>
      <w:bookmarkEnd w:id="27"/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竞赛总成绩由各竞赛模块按比例得分组成。竞赛总成绩作为参赛选手名次排序的依据。参赛选手总成绩相同时，用时少者名次在前。若用时相同时，模块B得分高的选手名次在前，若模块B成绩仍相同时，依次比较模块C、D的成绩，成绩高者名次在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EyNDUyOWJkOWI3MWU2YjQyZWM5MWM4Y2I0ZTEifQ=="/>
  </w:docVars>
  <w:rsids>
    <w:rsidRoot w:val="43E44DED"/>
    <w:rsid w:val="0000498F"/>
    <w:rsid w:val="000209C3"/>
    <w:rsid w:val="000434C0"/>
    <w:rsid w:val="0004678F"/>
    <w:rsid w:val="00055CA1"/>
    <w:rsid w:val="00056C5F"/>
    <w:rsid w:val="000A47D4"/>
    <w:rsid w:val="000A78AB"/>
    <w:rsid w:val="000D5827"/>
    <w:rsid w:val="000D5F5B"/>
    <w:rsid w:val="000E49B5"/>
    <w:rsid w:val="0010116F"/>
    <w:rsid w:val="00104429"/>
    <w:rsid w:val="001257D7"/>
    <w:rsid w:val="00132666"/>
    <w:rsid w:val="00137235"/>
    <w:rsid w:val="0014602D"/>
    <w:rsid w:val="00163DAF"/>
    <w:rsid w:val="00181599"/>
    <w:rsid w:val="0018471B"/>
    <w:rsid w:val="001903DE"/>
    <w:rsid w:val="001B43FC"/>
    <w:rsid w:val="001E122D"/>
    <w:rsid w:val="001E26B8"/>
    <w:rsid w:val="001E3E4D"/>
    <w:rsid w:val="002121B9"/>
    <w:rsid w:val="0022260B"/>
    <w:rsid w:val="002328C1"/>
    <w:rsid w:val="0023756C"/>
    <w:rsid w:val="00241F78"/>
    <w:rsid w:val="002543E3"/>
    <w:rsid w:val="00264BB4"/>
    <w:rsid w:val="002800D0"/>
    <w:rsid w:val="00280CF3"/>
    <w:rsid w:val="002A1695"/>
    <w:rsid w:val="002A7044"/>
    <w:rsid w:val="002C2226"/>
    <w:rsid w:val="002C4928"/>
    <w:rsid w:val="002D1183"/>
    <w:rsid w:val="002E1AB3"/>
    <w:rsid w:val="00302FE9"/>
    <w:rsid w:val="003216E2"/>
    <w:rsid w:val="00353035"/>
    <w:rsid w:val="00380A97"/>
    <w:rsid w:val="0038139E"/>
    <w:rsid w:val="003878F5"/>
    <w:rsid w:val="003879EC"/>
    <w:rsid w:val="00390790"/>
    <w:rsid w:val="003B7CE8"/>
    <w:rsid w:val="003C0669"/>
    <w:rsid w:val="003D06C9"/>
    <w:rsid w:val="003D4D24"/>
    <w:rsid w:val="003E6DDC"/>
    <w:rsid w:val="003F1214"/>
    <w:rsid w:val="004020CA"/>
    <w:rsid w:val="00415EE5"/>
    <w:rsid w:val="0043053F"/>
    <w:rsid w:val="004327DF"/>
    <w:rsid w:val="00456C3A"/>
    <w:rsid w:val="00483ADC"/>
    <w:rsid w:val="00487FBA"/>
    <w:rsid w:val="00493890"/>
    <w:rsid w:val="004A001F"/>
    <w:rsid w:val="004D4BAB"/>
    <w:rsid w:val="004D570A"/>
    <w:rsid w:val="005202E6"/>
    <w:rsid w:val="005411F0"/>
    <w:rsid w:val="00542B2F"/>
    <w:rsid w:val="005B58C7"/>
    <w:rsid w:val="005B707A"/>
    <w:rsid w:val="005C1CBC"/>
    <w:rsid w:val="005C6AF5"/>
    <w:rsid w:val="005D2202"/>
    <w:rsid w:val="005D7F5F"/>
    <w:rsid w:val="005E6FD3"/>
    <w:rsid w:val="00623775"/>
    <w:rsid w:val="00624A59"/>
    <w:rsid w:val="00655B3A"/>
    <w:rsid w:val="00655E80"/>
    <w:rsid w:val="00682F80"/>
    <w:rsid w:val="006B1D6E"/>
    <w:rsid w:val="006D10BE"/>
    <w:rsid w:val="00705F1E"/>
    <w:rsid w:val="00725203"/>
    <w:rsid w:val="007544DA"/>
    <w:rsid w:val="00755DCA"/>
    <w:rsid w:val="00760653"/>
    <w:rsid w:val="007634E3"/>
    <w:rsid w:val="007722B8"/>
    <w:rsid w:val="00772DF1"/>
    <w:rsid w:val="007739F7"/>
    <w:rsid w:val="00790309"/>
    <w:rsid w:val="007B6ABE"/>
    <w:rsid w:val="007C0CBF"/>
    <w:rsid w:val="007D4BC3"/>
    <w:rsid w:val="00812578"/>
    <w:rsid w:val="00834C09"/>
    <w:rsid w:val="00836C64"/>
    <w:rsid w:val="008429AB"/>
    <w:rsid w:val="00850040"/>
    <w:rsid w:val="008636C6"/>
    <w:rsid w:val="00877D13"/>
    <w:rsid w:val="008841A8"/>
    <w:rsid w:val="008A2B7E"/>
    <w:rsid w:val="008B6EE1"/>
    <w:rsid w:val="008B7C62"/>
    <w:rsid w:val="008C538C"/>
    <w:rsid w:val="008D3B78"/>
    <w:rsid w:val="008D7029"/>
    <w:rsid w:val="008D71B5"/>
    <w:rsid w:val="008E714E"/>
    <w:rsid w:val="0090453A"/>
    <w:rsid w:val="00910B8F"/>
    <w:rsid w:val="0091664F"/>
    <w:rsid w:val="009318FE"/>
    <w:rsid w:val="00970735"/>
    <w:rsid w:val="00970E98"/>
    <w:rsid w:val="009B6525"/>
    <w:rsid w:val="009C0056"/>
    <w:rsid w:val="009C0788"/>
    <w:rsid w:val="00A33DD0"/>
    <w:rsid w:val="00A5135A"/>
    <w:rsid w:val="00A646FC"/>
    <w:rsid w:val="00A844A4"/>
    <w:rsid w:val="00A867DC"/>
    <w:rsid w:val="00A94ED2"/>
    <w:rsid w:val="00AC718D"/>
    <w:rsid w:val="00B14BF1"/>
    <w:rsid w:val="00B20A7F"/>
    <w:rsid w:val="00B31154"/>
    <w:rsid w:val="00B3265D"/>
    <w:rsid w:val="00B44F0E"/>
    <w:rsid w:val="00B73CF3"/>
    <w:rsid w:val="00B820E6"/>
    <w:rsid w:val="00B94A56"/>
    <w:rsid w:val="00BA7941"/>
    <w:rsid w:val="00BA7D24"/>
    <w:rsid w:val="00BB63F6"/>
    <w:rsid w:val="00BB7B4E"/>
    <w:rsid w:val="00BC3479"/>
    <w:rsid w:val="00BD6B15"/>
    <w:rsid w:val="00BF4574"/>
    <w:rsid w:val="00C06E7F"/>
    <w:rsid w:val="00C22358"/>
    <w:rsid w:val="00C37616"/>
    <w:rsid w:val="00C6405D"/>
    <w:rsid w:val="00C73059"/>
    <w:rsid w:val="00CB42A2"/>
    <w:rsid w:val="00CE0285"/>
    <w:rsid w:val="00CF1524"/>
    <w:rsid w:val="00D512CC"/>
    <w:rsid w:val="00D56AD5"/>
    <w:rsid w:val="00D7041D"/>
    <w:rsid w:val="00D91DCF"/>
    <w:rsid w:val="00D92218"/>
    <w:rsid w:val="00D95966"/>
    <w:rsid w:val="00DD59C9"/>
    <w:rsid w:val="00DD5E66"/>
    <w:rsid w:val="00E1436F"/>
    <w:rsid w:val="00E22F58"/>
    <w:rsid w:val="00E31F6D"/>
    <w:rsid w:val="00E339C1"/>
    <w:rsid w:val="00E41697"/>
    <w:rsid w:val="00E51BC2"/>
    <w:rsid w:val="00E53F8A"/>
    <w:rsid w:val="00E85342"/>
    <w:rsid w:val="00EB764D"/>
    <w:rsid w:val="00EF2D71"/>
    <w:rsid w:val="00EF5BF6"/>
    <w:rsid w:val="00F32E36"/>
    <w:rsid w:val="00F3637C"/>
    <w:rsid w:val="00F55015"/>
    <w:rsid w:val="00F56471"/>
    <w:rsid w:val="00F61EED"/>
    <w:rsid w:val="00F93BFB"/>
    <w:rsid w:val="00F966FA"/>
    <w:rsid w:val="00F96F15"/>
    <w:rsid w:val="00FA1248"/>
    <w:rsid w:val="00FB11D4"/>
    <w:rsid w:val="00FB4F3E"/>
    <w:rsid w:val="00FB5805"/>
    <w:rsid w:val="00FB6B7F"/>
    <w:rsid w:val="00FC6EA5"/>
    <w:rsid w:val="00FE2117"/>
    <w:rsid w:val="02DD3FFC"/>
    <w:rsid w:val="047A70AC"/>
    <w:rsid w:val="0A67156E"/>
    <w:rsid w:val="0C74282F"/>
    <w:rsid w:val="142F4D2F"/>
    <w:rsid w:val="172F4EF4"/>
    <w:rsid w:val="18377A00"/>
    <w:rsid w:val="1A5157CA"/>
    <w:rsid w:val="1EAB17B6"/>
    <w:rsid w:val="21354073"/>
    <w:rsid w:val="218026A3"/>
    <w:rsid w:val="2B163E27"/>
    <w:rsid w:val="2EC42E9D"/>
    <w:rsid w:val="31894254"/>
    <w:rsid w:val="31DB1802"/>
    <w:rsid w:val="34E15E4E"/>
    <w:rsid w:val="3729791C"/>
    <w:rsid w:val="37F37B90"/>
    <w:rsid w:val="39CE348A"/>
    <w:rsid w:val="3AD17F24"/>
    <w:rsid w:val="3AE9798E"/>
    <w:rsid w:val="3B5F3875"/>
    <w:rsid w:val="3D7B3D3F"/>
    <w:rsid w:val="43E44DED"/>
    <w:rsid w:val="481010A8"/>
    <w:rsid w:val="49386F80"/>
    <w:rsid w:val="4AC458D0"/>
    <w:rsid w:val="4CC04ACD"/>
    <w:rsid w:val="51EC7501"/>
    <w:rsid w:val="53CC143E"/>
    <w:rsid w:val="5EC12B70"/>
    <w:rsid w:val="5FA97229"/>
    <w:rsid w:val="63AF04F3"/>
    <w:rsid w:val="69336AE7"/>
    <w:rsid w:val="6AE75868"/>
    <w:rsid w:val="6DF33881"/>
    <w:rsid w:val="76731A15"/>
    <w:rsid w:val="76855772"/>
    <w:rsid w:val="7691545E"/>
    <w:rsid w:val="796F7352"/>
    <w:rsid w:val="7A8E4B56"/>
    <w:rsid w:val="7B9F41B8"/>
    <w:rsid w:val="7CBC59D1"/>
    <w:rsid w:val="7CF10FC9"/>
    <w:rsid w:val="7D386D9E"/>
    <w:rsid w:val="7E050171"/>
    <w:rsid w:val="7E0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spacing w:line="360" w:lineRule="auto"/>
      <w:outlineLvl w:val="1"/>
    </w:pPr>
    <w:rPr>
      <w:rFonts w:ascii="黑体" w:hAnsi="黑体"/>
      <w:b/>
      <w:bCs/>
      <w:spacing w:val="20"/>
      <w:sz w:val="28"/>
      <w:szCs w:val="28"/>
    </w:rPr>
  </w:style>
  <w:style w:type="paragraph" w:styleId="6">
    <w:name w:val="heading 4"/>
    <w:basedOn w:val="1"/>
    <w:next w:val="1"/>
    <w:qFormat/>
    <w:uiPriority w:val="0"/>
    <w:pPr>
      <w:spacing w:line="360" w:lineRule="auto"/>
      <w:outlineLvl w:val="3"/>
    </w:pPr>
    <w:rPr>
      <w:rFonts w:ascii="宋体" w:cs="宋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link w:val="17"/>
    <w:qFormat/>
    <w:uiPriority w:val="0"/>
    <w:pPr>
      <w:spacing w:after="120"/>
    </w:pPr>
  </w:style>
  <w:style w:type="paragraph" w:styleId="7">
    <w:name w:val="Date"/>
    <w:basedOn w:val="1"/>
    <w:next w:val="1"/>
    <w:link w:val="26"/>
    <w:uiPriority w:val="0"/>
    <w:pPr>
      <w:ind w:left="100" w:leftChars="2500"/>
    </w:p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cs="Arial"/>
      <w:b/>
      <w:bCs/>
      <w:sz w:val="44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7">
    <w:name w:val="正文文本 字符"/>
    <w:basedOn w:val="14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框文本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正文文本 (6)"/>
    <w:link w:val="22"/>
    <w:qFormat/>
    <w:uiPriority w:val="0"/>
    <w:pPr>
      <w:shd w:val="clear" w:color="auto" w:fill="FFFFFF"/>
      <w:spacing w:line="542" w:lineRule="exact"/>
    </w:pPr>
    <w:rPr>
      <w:rFonts w:ascii="MingLiU" w:hAnsi="Courier New" w:eastAsia="MingLiU" w:cs="Times New Roman"/>
      <w:b/>
      <w:bCs/>
      <w:sz w:val="29"/>
      <w:szCs w:val="29"/>
      <w:lang w:val="en-US" w:eastAsia="zh-CN" w:bidi="ar-SA"/>
    </w:rPr>
  </w:style>
  <w:style w:type="character" w:customStyle="1" w:styleId="22">
    <w:name w:val="正文文本 (6)_"/>
    <w:link w:val="21"/>
    <w:qFormat/>
    <w:locked/>
    <w:uiPriority w:val="0"/>
    <w:rPr>
      <w:rFonts w:ascii="MingLiU" w:hAnsi="Courier New" w:eastAsia="MingLiU"/>
      <w:b/>
      <w:bCs/>
      <w:kern w:val="0"/>
      <w:sz w:val="29"/>
      <w:szCs w:val="29"/>
    </w:rPr>
  </w:style>
  <w:style w:type="paragraph" w:customStyle="1" w:styleId="23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24">
    <w:name w:val="Other|1"/>
    <w:basedOn w:val="1"/>
    <w:qFormat/>
    <w:uiPriority w:val="0"/>
    <w:rPr>
      <w:rFonts w:ascii="宋体" w:hAnsi="宋体" w:cs="宋体"/>
      <w:szCs w:val="20"/>
      <w:lang w:val="zh-TW" w:eastAsia="zh-TW" w:bidi="zh-TW"/>
    </w:rPr>
  </w:style>
  <w:style w:type="paragraph" w:customStyle="1" w:styleId="25">
    <w:name w:val="表格内容"/>
    <w:basedOn w:val="1"/>
    <w:qFormat/>
    <w:uiPriority w:val="99"/>
    <w:pPr>
      <w:adjustRightInd w:val="0"/>
      <w:snapToGrid w:val="0"/>
      <w:jc w:val="left"/>
    </w:pPr>
    <w:rPr>
      <w:rFonts w:ascii="仿宋_GB2312" w:hAnsi="仿宋_GB2312" w:eastAsia="仿宋" w:cs="仿宋_GB2312"/>
      <w:spacing w:val="1"/>
      <w:kern w:val="0"/>
      <w:szCs w:val="21"/>
    </w:rPr>
  </w:style>
  <w:style w:type="character" w:customStyle="1" w:styleId="26">
    <w:name w:val="日期 字符"/>
    <w:basedOn w:val="14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7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2AF1B-D2DF-4E42-9583-20098219F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703</Words>
  <Characters>4012</Characters>
  <Lines>33</Lines>
  <Paragraphs>9</Paragraphs>
  <TotalTime>0</TotalTime>
  <ScaleCrop>false</ScaleCrop>
  <LinksUpToDate>false</LinksUpToDate>
  <CharactersWithSpaces>4706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2023-12-20T05:48:00Z</dcterms:created>
  <dc:creator>Administrator</dc:creator>
  <cp:lastModifiedBy>261210</cp:lastModifiedBy>
  <dcterms:modified xsi:type="dcterms:W3CDTF">2023-12-20T06:59:56Z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2468C43BDC364675A757CDD5D711725A_13</vt:lpwstr>
  </property>
</Properties>
</file>