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BE784C" w:rsidRPr="00672BFD">
              <w:rPr>
                <w:rFonts w:ascii="黑体" w:eastAsia="黑体" w:hAnsi="黑体"/>
                <w:sz w:val="21"/>
                <w:szCs w:val="21"/>
              </w:rPr>
            </w:r>
            <w:r w:rsidRPr="00672BFD">
              <w:rPr>
                <w:rFonts w:ascii="黑体" w:eastAsia="黑体" w:hAnsi="黑体"/>
                <w:sz w:val="21"/>
                <w:szCs w:val="21"/>
              </w:rPr>
              <w:fldChar w:fldCharType="separate"/>
            </w:r>
            <w:r w:rsidR="00BE784C">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E784C">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279D3">
                    <w:t>CCA</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279D3">
        <w:rPr>
          <w:rFonts w:ascii="黑体" w:eastAsia="黑体"/>
          <w:b w:val="0"/>
          <w:w w:val="100"/>
          <w:sz w:val="48"/>
        </w:rPr>
        <w:t> </w:t>
      </w:r>
      <w:r w:rsidR="005279D3">
        <w:rPr>
          <w:rFonts w:ascii="黑体" w:eastAsia="黑体"/>
          <w:b w:val="0"/>
          <w:w w:val="100"/>
          <w:sz w:val="48"/>
        </w:rPr>
        <w:t> </w:t>
      </w:r>
      <w:r w:rsidR="005279D3">
        <w:rPr>
          <w:rFonts w:ascii="黑体" w:eastAsia="黑体"/>
          <w:b w:val="0"/>
          <w:w w:val="100"/>
          <w:sz w:val="48"/>
        </w:rPr>
        <w:t> </w:t>
      </w:r>
      <w:r w:rsidR="005279D3">
        <w:rPr>
          <w:rFonts w:ascii="黑体" w:eastAsia="黑体"/>
          <w:b w:val="0"/>
          <w:w w:val="100"/>
          <w:sz w:val="48"/>
        </w:rPr>
        <w:t> </w:t>
      </w:r>
      <w:r w:rsidR="005279D3">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2750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GoBack"/>
      <w:r w:rsidR="00666BE6">
        <w:t>食品接触表面清洁效果ATP监测评价及限值要求</w:t>
      </w:r>
      <w:bookmarkEnd w:id="10"/>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66BE6" w:rsidRPr="00666BE6">
        <w:rPr>
          <w:rFonts w:eastAsia="黑体"/>
          <w:noProof/>
          <w:szCs w:val="28"/>
        </w:rPr>
        <w:t xml:space="preserve">Evaluation of </w:t>
      </w:r>
      <w:r w:rsidR="009E797D">
        <w:rPr>
          <w:rFonts w:eastAsia="黑体" w:hint="eastAsia"/>
          <w:noProof/>
          <w:szCs w:val="28"/>
        </w:rPr>
        <w:t>f</w:t>
      </w:r>
      <w:r w:rsidR="00666BE6" w:rsidRPr="00666BE6">
        <w:rPr>
          <w:rFonts w:eastAsia="黑体"/>
          <w:noProof/>
          <w:szCs w:val="28"/>
        </w:rPr>
        <w:t xml:space="preserve">ood contact surface cleaning effect by using ATP monitoring and limit value requirement </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B85430">
        <w:rPr>
          <w:noProof/>
          <w:sz w:val="24"/>
          <w:szCs w:val="28"/>
        </w:rPr>
      </w:r>
      <w:r w:rsidR="00B85430">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B85430">
        <w:rPr>
          <w:b/>
          <w:noProof/>
          <w:sz w:val="21"/>
          <w:szCs w:val="28"/>
        </w:rPr>
      </w:r>
      <w:r w:rsidR="00B85430">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81F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66BE6" w:rsidRDefault="00666BE6" w:rsidP="00666BE6">
      <w:pPr>
        <w:pStyle w:val="a6"/>
        <w:spacing w:after="360"/>
      </w:pPr>
      <w:bookmarkStart w:id="22" w:name="BookMark2"/>
      <w:r w:rsidRPr="00666BE6">
        <w:rPr>
          <w:spacing w:val="320"/>
        </w:rPr>
        <w:lastRenderedPageBreak/>
        <w:t>前</w:t>
      </w:r>
      <w:r>
        <w:t>言</w:t>
      </w:r>
    </w:p>
    <w:p w:rsidR="00666BE6" w:rsidRDefault="00666BE6" w:rsidP="00666BE6">
      <w:pPr>
        <w:pStyle w:val="affffb"/>
        <w:ind w:firstLine="420"/>
      </w:pPr>
      <w:r>
        <w:rPr>
          <w:rFonts w:hint="eastAsia"/>
        </w:rPr>
        <w:t>本文件按照GB/T 1.1—2020《标准化工作导则  第1部分：标准化文件的结构和起草规则》的规定起草。</w:t>
      </w:r>
    </w:p>
    <w:p w:rsidR="00666BE6" w:rsidRDefault="00666BE6" w:rsidP="00666BE6">
      <w:pPr>
        <w:pStyle w:val="affffb"/>
        <w:ind w:firstLine="420"/>
      </w:pPr>
      <w:r w:rsidRPr="00666BE6">
        <w:rPr>
          <w:rFonts w:hint="eastAsia"/>
        </w:rPr>
        <w:t>本文件的某些内容可能涉及专利。本文件的发布机构不承担识别专利的责任。</w:t>
      </w:r>
    </w:p>
    <w:p w:rsidR="00666BE6" w:rsidRDefault="00666BE6" w:rsidP="00666BE6">
      <w:pPr>
        <w:pStyle w:val="affffb"/>
        <w:ind w:firstLine="420"/>
      </w:pPr>
      <w:r>
        <w:rPr>
          <w:rFonts w:hint="eastAsia"/>
        </w:rPr>
        <w:t>本文件由中国烹饪协会提出并归口。</w:t>
      </w:r>
    </w:p>
    <w:p w:rsidR="00666BE6" w:rsidRDefault="00666BE6" w:rsidP="00666BE6">
      <w:pPr>
        <w:pStyle w:val="affffb"/>
        <w:ind w:firstLine="420"/>
      </w:pPr>
      <w:r>
        <w:rPr>
          <w:rFonts w:hint="eastAsia"/>
        </w:rPr>
        <w:t>本文件起草单位：</w:t>
      </w:r>
    </w:p>
    <w:p w:rsidR="00666BE6" w:rsidRDefault="00666BE6" w:rsidP="00666BE6">
      <w:pPr>
        <w:pStyle w:val="affffb"/>
        <w:ind w:firstLine="420"/>
      </w:pPr>
      <w:r>
        <w:rPr>
          <w:rFonts w:hint="eastAsia"/>
        </w:rPr>
        <w:t>本文件主要起草人：</w:t>
      </w:r>
    </w:p>
    <w:p w:rsidR="00666BE6" w:rsidRDefault="00666BE6" w:rsidP="00666BE6">
      <w:pPr>
        <w:pStyle w:val="affffb"/>
        <w:ind w:firstLine="420"/>
      </w:pPr>
    </w:p>
    <w:p w:rsidR="00666BE6" w:rsidRPr="00666BE6" w:rsidRDefault="00666BE6" w:rsidP="00666BE6">
      <w:pPr>
        <w:pStyle w:val="affffb"/>
        <w:ind w:firstLine="420"/>
        <w:sectPr w:rsidR="00666BE6" w:rsidRPr="00666BE6" w:rsidSect="00666BE6">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5F73BD2359748F5A09D0919ED0F43C6"/>
        </w:placeholder>
      </w:sdtPr>
      <w:sdtEndPr/>
      <w:sdtContent>
        <w:bookmarkStart w:id="24" w:name="NEW_STAND_NAME" w:displacedByCustomXml="prev"/>
        <w:p w:rsidR="00F26B7E" w:rsidRPr="00F26B7E" w:rsidRDefault="00666BE6" w:rsidP="00666BE6">
          <w:pPr>
            <w:pStyle w:val="afffffffff8"/>
            <w:spacing w:beforeLines="1" w:before="2" w:afterLines="220" w:after="528"/>
          </w:pPr>
          <w:r>
            <w:rPr>
              <w:rFonts w:hint="eastAsia"/>
            </w:rPr>
            <w:t>食品接触表面清洁效果</w:t>
          </w:r>
          <w:r>
            <w:t>ATP监测评价及限值要求</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rsidR="00666BE6" w:rsidRDefault="00666BE6" w:rsidP="00666BE6">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本文件规定了一种采用三磷酸腺苷（ATP）生物发光技术，对食品接触表面清洁效果进行评价的方法以及限值要求。</w:t>
      </w:r>
    </w:p>
    <w:p w:rsidR="008B0C9C" w:rsidRDefault="00666BE6" w:rsidP="00666BE6">
      <w:pPr>
        <w:pStyle w:val="affffb"/>
        <w:ind w:firstLine="420"/>
      </w:pPr>
      <w:r>
        <w:rPr>
          <w:rFonts w:hint="eastAsia"/>
        </w:rPr>
        <w:t>本文件适用于采用ATP生物发光法对食品接触表面清洁效果进行的评价。</w:t>
      </w:r>
    </w:p>
    <w:p w:rsidR="00E2552F" w:rsidRDefault="00E2552F"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50C92C43BF9A4AC28EAA5C3AB1E384A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0156FE"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66BE6" w:rsidRDefault="00666BE6" w:rsidP="00666BE6">
      <w:pPr>
        <w:pStyle w:val="affffb"/>
        <w:ind w:firstLine="420"/>
      </w:pPr>
      <w:r>
        <w:rPr>
          <w:rFonts w:hint="eastAsia"/>
        </w:rPr>
        <w:t>GB 14881 食品安全国家标准 食品生产通用卫生规范</w:t>
      </w:r>
    </w:p>
    <w:p w:rsidR="00666BE6" w:rsidRDefault="00666BE6" w:rsidP="00666BE6">
      <w:pPr>
        <w:pStyle w:val="affffb"/>
        <w:ind w:firstLine="420"/>
      </w:pPr>
      <w:r>
        <w:rPr>
          <w:rFonts w:hint="eastAsia"/>
        </w:rPr>
        <w:t xml:space="preserve">GB 31654 食品安全国家标准 餐饮服务通用卫生规范 </w:t>
      </w:r>
    </w:p>
    <w:p w:rsidR="00AA6EC9" w:rsidRPr="008A57E6" w:rsidRDefault="00666BE6" w:rsidP="00666BE6">
      <w:pPr>
        <w:pStyle w:val="affffb"/>
        <w:ind w:firstLine="420"/>
      </w:pPr>
      <w:r>
        <w:rPr>
          <w:rFonts w:hint="eastAsia"/>
        </w:rPr>
        <w:t>GB/T 36004 食品接触表面清洗消毒效果试验方法 三磷酸腺苷生物发光法</w:t>
      </w:r>
    </w:p>
    <w:p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947F70D949414191BC1047B41035C4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156FE" w:rsidP="00BA263B">
          <w:pPr>
            <w:pStyle w:val="affffb"/>
            <w:ind w:firstLine="420"/>
          </w:pPr>
          <w:r>
            <w:rPr>
              <w:rFonts w:hint="eastAsia"/>
            </w:rPr>
            <w:t>下列术语和定义适用于本文件。</w:t>
          </w:r>
        </w:p>
      </w:sdtContent>
    </w:sdt>
    <w:p w:rsidR="00666BE6" w:rsidRDefault="00666BE6" w:rsidP="00666BE6">
      <w:pPr>
        <w:pStyle w:val="affd"/>
        <w:spacing w:before="120" w:after="120"/>
      </w:pPr>
    </w:p>
    <w:p w:rsidR="004B3E93" w:rsidRDefault="00B401D2" w:rsidP="00666BE6">
      <w:pPr>
        <w:pStyle w:val="affd"/>
        <w:numPr>
          <w:ilvl w:val="0"/>
          <w:numId w:val="0"/>
        </w:numPr>
        <w:spacing w:before="120" w:after="120"/>
        <w:ind w:firstLineChars="200" w:firstLine="420"/>
      </w:pPr>
      <w:r>
        <w:rPr>
          <w:rFonts w:hint="eastAsia"/>
        </w:rPr>
        <w:t>三磷酸腺苷 a</w:t>
      </w:r>
      <w:r w:rsidR="00666BE6" w:rsidRPr="00666BE6">
        <w:rPr>
          <w:rFonts w:hint="eastAsia"/>
        </w:rPr>
        <w:t xml:space="preserve">denosine triphosphate，ATP  </w:t>
      </w:r>
    </w:p>
    <w:p w:rsidR="002A1260" w:rsidRDefault="00BE7436" w:rsidP="00653FED">
      <w:pPr>
        <w:pStyle w:val="affffb"/>
        <w:ind w:firstLine="420"/>
      </w:pPr>
      <w:r w:rsidRPr="00BE7436">
        <w:rPr>
          <w:rFonts w:hint="eastAsia"/>
        </w:rPr>
        <w:t>存在于活生物体的每个细胞中用于存储能量，并为细胞提供运作所需的能量的一种化学物质。</w:t>
      </w:r>
    </w:p>
    <w:p w:rsidR="001D212F" w:rsidRDefault="001D212F" w:rsidP="00BE7436">
      <w:pPr>
        <w:pStyle w:val="affd"/>
        <w:spacing w:before="120" w:after="120"/>
      </w:pPr>
    </w:p>
    <w:p w:rsidR="00BE7436" w:rsidRPr="00BE7436" w:rsidRDefault="00B401D2" w:rsidP="00BE7436">
      <w:pPr>
        <w:pStyle w:val="affffb"/>
        <w:ind w:firstLine="420"/>
        <w:rPr>
          <w:rFonts w:ascii="黑体" w:eastAsia="黑体" w:hAnsi="黑体"/>
        </w:rPr>
      </w:pPr>
      <w:r>
        <w:rPr>
          <w:rFonts w:ascii="黑体" w:eastAsia="黑体" w:hAnsi="黑体" w:hint="eastAsia"/>
        </w:rPr>
        <w:t>相对光单位 r</w:t>
      </w:r>
      <w:r w:rsidR="00BE7436" w:rsidRPr="00BE7436">
        <w:rPr>
          <w:rFonts w:ascii="黑体" w:eastAsia="黑体" w:hAnsi="黑体" w:hint="eastAsia"/>
        </w:rPr>
        <w:t>elative light unit, RLU</w:t>
      </w:r>
    </w:p>
    <w:p w:rsidR="007A5D3A" w:rsidRDefault="00BE7436" w:rsidP="007A5D3A">
      <w:pPr>
        <w:pStyle w:val="affffb"/>
        <w:ind w:firstLine="420"/>
      </w:pPr>
      <w:r w:rsidRPr="00BE7436">
        <w:rPr>
          <w:rFonts w:hint="eastAsia"/>
        </w:rPr>
        <w:t>在ATP水解为一磷酸腺苷（Adenosine Monophosphate，AMP）和焦磷酸盐所释放的化学能驱动下，荧光素酶催化荧光素氧化所释放光量子数的测量单位。</w:t>
      </w:r>
    </w:p>
    <w:p w:rsidR="00BE7436" w:rsidRPr="00BE7436" w:rsidRDefault="00BE7436" w:rsidP="007A5D3A">
      <w:pPr>
        <w:pStyle w:val="affffb"/>
        <w:ind w:firstLine="360"/>
        <w:rPr>
          <w:sz w:val="18"/>
          <w:szCs w:val="18"/>
        </w:rPr>
      </w:pPr>
      <w:r w:rsidRPr="00234B70">
        <w:rPr>
          <w:rFonts w:ascii="黑体" w:eastAsia="黑体" w:hAnsi="黑体" w:hint="eastAsia"/>
          <w:sz w:val="18"/>
          <w:szCs w:val="18"/>
        </w:rPr>
        <w:t>注：</w:t>
      </w:r>
      <w:r w:rsidRPr="00BE7436">
        <w:rPr>
          <w:rFonts w:hint="eastAsia"/>
          <w:sz w:val="18"/>
          <w:szCs w:val="18"/>
        </w:rPr>
        <w:t>非SI单位，但与ATP浓度成比例关系。不同的荧光检测仪对于同样的光量子数可能会产生不同的RLU读数。</w:t>
      </w:r>
    </w:p>
    <w:p w:rsidR="003E019F" w:rsidRDefault="003E019F" w:rsidP="00234B70">
      <w:pPr>
        <w:pStyle w:val="affd"/>
        <w:spacing w:before="120" w:after="120"/>
      </w:pPr>
    </w:p>
    <w:p w:rsidR="00234B70" w:rsidRDefault="00234B70" w:rsidP="00234B70">
      <w:pPr>
        <w:pStyle w:val="affffb"/>
        <w:ind w:firstLine="420"/>
        <w:rPr>
          <w:rFonts w:ascii="黑体" w:eastAsia="黑体" w:hAnsi="黑体"/>
        </w:rPr>
      </w:pPr>
      <w:r w:rsidRPr="00234B70">
        <w:rPr>
          <w:rFonts w:ascii="黑体" w:eastAsia="黑体" w:hAnsi="黑体" w:hint="eastAsia"/>
        </w:rPr>
        <w:t>拭子</w:t>
      </w:r>
      <w:r w:rsidR="00B401D2">
        <w:rPr>
          <w:rFonts w:ascii="黑体" w:eastAsia="黑体" w:hAnsi="黑体" w:hint="eastAsia"/>
        </w:rPr>
        <w:t xml:space="preserve"> </w:t>
      </w:r>
      <w:r w:rsidR="00111BAC">
        <w:rPr>
          <w:rFonts w:ascii="黑体" w:eastAsia="黑体" w:hAnsi="黑体" w:hint="eastAsia"/>
        </w:rPr>
        <w:t>swab</w:t>
      </w:r>
    </w:p>
    <w:p w:rsidR="00234B70" w:rsidRDefault="00234B70" w:rsidP="00234B70">
      <w:pPr>
        <w:pStyle w:val="affffb"/>
        <w:ind w:firstLine="420"/>
        <w:rPr>
          <w:rFonts w:hAnsi="宋体"/>
        </w:rPr>
      </w:pPr>
      <w:r w:rsidRPr="00234B70">
        <w:rPr>
          <w:rFonts w:hAnsi="宋体" w:hint="eastAsia"/>
        </w:rPr>
        <w:t>对目标无抑制作用的无菌无毒、带适当尺寸基底物的小棒。</w:t>
      </w:r>
    </w:p>
    <w:p w:rsidR="00234B70" w:rsidRDefault="00234B70" w:rsidP="00234B70">
      <w:pPr>
        <w:pStyle w:val="affd"/>
        <w:spacing w:before="120" w:after="120"/>
      </w:pPr>
    </w:p>
    <w:p w:rsidR="00234B70" w:rsidRDefault="00234B70" w:rsidP="00234B70">
      <w:pPr>
        <w:pStyle w:val="affffb"/>
        <w:ind w:firstLine="420"/>
        <w:rPr>
          <w:rFonts w:ascii="黑体" w:eastAsia="黑体" w:hAnsi="黑体"/>
        </w:rPr>
      </w:pPr>
      <w:r w:rsidRPr="00234B70">
        <w:rPr>
          <w:rFonts w:ascii="黑体" w:eastAsia="黑体" w:hAnsi="黑体" w:hint="eastAsia"/>
        </w:rPr>
        <w:t>1区</w:t>
      </w:r>
      <w:r w:rsidR="00B401D2">
        <w:rPr>
          <w:rFonts w:ascii="黑体" w:eastAsia="黑体" w:hAnsi="黑体" w:hint="eastAsia"/>
        </w:rPr>
        <w:t xml:space="preserve"> zone</w:t>
      </w:r>
      <w:r w:rsidR="00B401D2">
        <w:rPr>
          <w:rFonts w:ascii="黑体" w:eastAsia="黑体" w:hAnsi="黑体"/>
        </w:rPr>
        <w:t xml:space="preserve"> 1</w:t>
      </w:r>
    </w:p>
    <w:p w:rsidR="00234B70" w:rsidRDefault="00234B70" w:rsidP="00234B70">
      <w:pPr>
        <w:pStyle w:val="affffb"/>
        <w:ind w:firstLine="420"/>
        <w:rPr>
          <w:rFonts w:hAnsi="宋体"/>
        </w:rPr>
      </w:pPr>
      <w:r w:rsidRPr="00234B70">
        <w:rPr>
          <w:rFonts w:hAnsi="宋体" w:hint="eastAsia"/>
        </w:rPr>
        <w:t>食品、餐饮加工过程中产品风险最高的区域，包括食品处理区内的食品接触面、清洁作业区或准清洁作业区内的食品接触面。</w:t>
      </w:r>
    </w:p>
    <w:p w:rsidR="00234B70" w:rsidRDefault="00234B70" w:rsidP="00234B70">
      <w:pPr>
        <w:pStyle w:val="affd"/>
        <w:spacing w:before="120" w:after="120"/>
      </w:pPr>
    </w:p>
    <w:p w:rsidR="00234B70" w:rsidRDefault="00234B70" w:rsidP="00234B70">
      <w:pPr>
        <w:pStyle w:val="affffb"/>
        <w:ind w:firstLine="420"/>
        <w:rPr>
          <w:rFonts w:ascii="黑体" w:eastAsia="黑体" w:hAnsi="黑体"/>
        </w:rPr>
      </w:pPr>
      <w:r w:rsidRPr="00234B70">
        <w:rPr>
          <w:rFonts w:ascii="黑体" w:eastAsia="黑体" w:hAnsi="黑体" w:hint="eastAsia"/>
        </w:rPr>
        <w:t>2区</w:t>
      </w:r>
      <w:r w:rsidR="00B401D2">
        <w:rPr>
          <w:rFonts w:ascii="黑体" w:eastAsia="黑体" w:hAnsi="黑体" w:hint="eastAsia"/>
        </w:rPr>
        <w:t xml:space="preserve"> zone</w:t>
      </w:r>
      <w:r w:rsidR="00B401D2">
        <w:rPr>
          <w:rFonts w:ascii="黑体" w:eastAsia="黑体" w:hAnsi="黑体"/>
        </w:rPr>
        <w:t xml:space="preserve"> 2</w:t>
      </w:r>
    </w:p>
    <w:p w:rsidR="00234B70" w:rsidRDefault="00234B70" w:rsidP="00234B70">
      <w:pPr>
        <w:pStyle w:val="affffb"/>
        <w:ind w:firstLine="420"/>
        <w:rPr>
          <w:rFonts w:hAnsi="宋体"/>
        </w:rPr>
      </w:pPr>
      <w:r w:rsidRPr="00234B70">
        <w:rPr>
          <w:rFonts w:hAnsi="宋体" w:hint="eastAsia"/>
        </w:rPr>
        <w:t>食品、餐饮加工过程中产品风险低于1区的区域，包括食品处理区内、清洁作业区或准清洁作业区内靠近食品及食品接触面的非食品接触面。</w:t>
      </w:r>
    </w:p>
    <w:p w:rsidR="00234B70" w:rsidRDefault="00234B70" w:rsidP="00234B70">
      <w:pPr>
        <w:pStyle w:val="affd"/>
        <w:spacing w:before="120" w:after="120"/>
      </w:pPr>
    </w:p>
    <w:p w:rsidR="00234B70" w:rsidRDefault="00234B70" w:rsidP="00234B70">
      <w:pPr>
        <w:pStyle w:val="affffb"/>
        <w:ind w:firstLine="420"/>
        <w:rPr>
          <w:rFonts w:ascii="黑体" w:eastAsia="黑体" w:hAnsi="黑体"/>
        </w:rPr>
      </w:pPr>
      <w:r w:rsidRPr="00234B70">
        <w:rPr>
          <w:rFonts w:ascii="黑体" w:eastAsia="黑体" w:hAnsi="黑体" w:hint="eastAsia"/>
        </w:rPr>
        <w:t>3区</w:t>
      </w:r>
      <w:r w:rsidR="00B401D2">
        <w:rPr>
          <w:rFonts w:ascii="黑体" w:eastAsia="黑体" w:hAnsi="黑体" w:hint="eastAsia"/>
        </w:rPr>
        <w:t xml:space="preserve"> zone</w:t>
      </w:r>
      <w:r w:rsidR="00B401D2">
        <w:rPr>
          <w:rFonts w:ascii="黑体" w:eastAsia="黑体" w:hAnsi="黑体"/>
        </w:rPr>
        <w:t xml:space="preserve"> 3</w:t>
      </w:r>
    </w:p>
    <w:p w:rsidR="00234B70" w:rsidRDefault="00234B70" w:rsidP="00234B70">
      <w:pPr>
        <w:pStyle w:val="affffb"/>
        <w:ind w:firstLine="420"/>
        <w:rPr>
          <w:rFonts w:hAnsi="宋体"/>
        </w:rPr>
      </w:pPr>
      <w:r w:rsidRPr="00234B70">
        <w:rPr>
          <w:rFonts w:hAnsi="宋体" w:hint="eastAsia"/>
        </w:rPr>
        <w:t>食品、餐饮加工过程中产品风险低于2区的区域，包括食品处理区内、清洁作业区或准清洁作业区内的其他区域。</w:t>
      </w:r>
    </w:p>
    <w:p w:rsidR="007B0173" w:rsidRDefault="007B0173" w:rsidP="00414719">
      <w:pPr>
        <w:pStyle w:val="affd"/>
        <w:spacing w:before="120" w:after="120"/>
      </w:pPr>
    </w:p>
    <w:p w:rsidR="00414719" w:rsidRDefault="00414719" w:rsidP="005279D3">
      <w:pPr>
        <w:pStyle w:val="affd"/>
        <w:numPr>
          <w:ilvl w:val="0"/>
          <w:numId w:val="0"/>
        </w:numPr>
        <w:spacing w:before="120" w:after="120"/>
        <w:ind w:firstLineChars="200" w:firstLine="420"/>
      </w:pPr>
      <w:r w:rsidRPr="00414719">
        <w:rPr>
          <w:rFonts w:hint="eastAsia"/>
        </w:rPr>
        <w:t>4区</w:t>
      </w:r>
      <w:r w:rsidR="00B401D2">
        <w:rPr>
          <w:rFonts w:hint="eastAsia"/>
        </w:rPr>
        <w:t xml:space="preserve"> zone</w:t>
      </w:r>
      <w:r w:rsidR="00B401D2">
        <w:t xml:space="preserve"> 4</w:t>
      </w:r>
    </w:p>
    <w:p w:rsidR="007B0173" w:rsidRDefault="007B0173" w:rsidP="007B0173">
      <w:pPr>
        <w:pStyle w:val="affffb"/>
        <w:ind w:firstLine="420"/>
      </w:pPr>
      <w:r w:rsidRPr="007B0173">
        <w:rPr>
          <w:rFonts w:hint="eastAsia"/>
        </w:rPr>
        <w:t>食品、餐饮加工过程中产品风险最低的区域，包括食品处理区外的非食品接触面、一般作业区。</w:t>
      </w:r>
    </w:p>
    <w:p w:rsidR="007B0173" w:rsidRDefault="007B0173" w:rsidP="007B0173">
      <w:pPr>
        <w:pStyle w:val="affc"/>
        <w:spacing w:before="240" w:after="240"/>
      </w:pPr>
      <w:r w:rsidRPr="007B0173">
        <w:rPr>
          <w:rFonts w:hint="eastAsia"/>
        </w:rPr>
        <w:t>方法原理</w:t>
      </w:r>
    </w:p>
    <w:p w:rsidR="007B0173" w:rsidRPr="007B0173" w:rsidRDefault="007B0173" w:rsidP="007B0173">
      <w:pPr>
        <w:pStyle w:val="affffb"/>
        <w:ind w:firstLine="420"/>
      </w:pPr>
      <w:r w:rsidRPr="007B0173">
        <w:rPr>
          <w:rFonts w:hint="eastAsia"/>
        </w:rPr>
        <w:t>ATP存在于所有动植物材料内，包括多数食物残渣、微生物等。荧光素/荧光素酶可与ATP反应，产生光信号。ATP含有量与产生的光信号成正比。荧光检测仪测量样品发出的光强度，以“相对光单位（RLU）”显示检测结果。根据相对光单位（RLU）可以推算出样本被食物残渣和微生物污染的程度，对食品接触面清洗情况进行监测。</w:t>
      </w:r>
    </w:p>
    <w:p w:rsidR="007B0173" w:rsidRPr="007B0173" w:rsidRDefault="007B0173" w:rsidP="007B0173">
      <w:pPr>
        <w:pStyle w:val="affc"/>
        <w:spacing w:before="240" w:after="240"/>
      </w:pPr>
      <w:r w:rsidRPr="007B0173">
        <w:rPr>
          <w:rFonts w:hint="eastAsia"/>
        </w:rPr>
        <w:t>仪器与耗材</w:t>
      </w:r>
    </w:p>
    <w:p w:rsidR="007B0173" w:rsidRDefault="007B0173" w:rsidP="007B0173">
      <w:pPr>
        <w:pStyle w:val="affd"/>
        <w:spacing w:before="120" w:after="120"/>
      </w:pPr>
      <w:r w:rsidRPr="007B0173">
        <w:rPr>
          <w:rFonts w:ascii="宋体" w:eastAsia="宋体" w:hAnsi="宋体" w:hint="eastAsia"/>
        </w:rPr>
        <w:t>ATP检测拭子或试剂：根据厂家要求在规定的条件下保存。对于冷藏保存的拭子或试剂，临用前在室温下平衡的时间不少于10 mins</w:t>
      </w:r>
      <w:r w:rsidRPr="007B0173">
        <w:rPr>
          <w:rFonts w:hint="eastAsia"/>
        </w:rPr>
        <w:t>。</w:t>
      </w:r>
    </w:p>
    <w:p w:rsidR="007B0173" w:rsidRDefault="007B0173" w:rsidP="007B0173">
      <w:pPr>
        <w:pStyle w:val="affd"/>
        <w:spacing w:before="120" w:after="120"/>
        <w:rPr>
          <w:rFonts w:ascii="宋体" w:eastAsia="宋体" w:hAnsi="宋体"/>
        </w:rPr>
      </w:pPr>
      <w:r w:rsidRPr="007B0173">
        <w:rPr>
          <w:rFonts w:ascii="宋体" w:eastAsia="宋体" w:hAnsi="宋体" w:hint="eastAsia"/>
        </w:rPr>
        <w:t>检测仪器：Clean TraceTM LM1手持式荧光检测仪。</w:t>
      </w:r>
    </w:p>
    <w:p w:rsidR="00270851" w:rsidRDefault="00270851" w:rsidP="00270851">
      <w:pPr>
        <w:pStyle w:val="affc"/>
        <w:spacing w:before="240" w:after="240"/>
      </w:pPr>
      <w:r w:rsidRPr="00270851">
        <w:rPr>
          <w:rFonts w:hint="eastAsia"/>
        </w:rPr>
        <w:t>清洁效果ATP评价方法</w:t>
      </w:r>
    </w:p>
    <w:p w:rsidR="00270851" w:rsidRPr="00270851" w:rsidRDefault="00270851" w:rsidP="00270851">
      <w:pPr>
        <w:pStyle w:val="affd"/>
        <w:spacing w:before="120" w:after="120"/>
      </w:pPr>
      <w:r w:rsidRPr="00270851">
        <w:rPr>
          <w:rFonts w:hint="eastAsia"/>
        </w:rPr>
        <w:t>采样点设置</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根据食品、餐饮加工过程对产品的风险将整个设施划分为四个区域。</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食品生产过程中的加工过程或餐饮高温烹调处理过程是为了降低微生物风险，在该过程之后的区域为高风险区，在该过程之前的区域为低风险区。无热处理工序的冷餐食物或无降低微生物风险的加工过程的食品，其整个处理过程区域均为高风险区。</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在清洁作业区、准清洁作业区内或食品处理区域内与食品直接接触的表面或生熟交叉污染可能性较高的位置为高风险点，与食品没有接触/或即使接触，后续将进一步高温杀菌或高温烹调加工以消除微生物风险的表面或交叉污染可能性较低的位置是较低的风险点。</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采样点的设置还应考虑位点清洗的难易程度。加工操作表面状况或材料可能会降低清洁的有效性，在难以清洁的地方，与表面相关的风险水平可能会增加。</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食品生产过程和餐饮加工环节，需重点关注1区和2区的清洁程度。</w:t>
      </w:r>
    </w:p>
    <w:p w:rsidR="00270851" w:rsidRPr="00270851" w:rsidRDefault="00270851" w:rsidP="00270851">
      <w:pPr>
        <w:pStyle w:val="affd"/>
        <w:spacing w:before="120" w:after="120"/>
      </w:pPr>
      <w:r w:rsidRPr="00270851">
        <w:rPr>
          <w:rFonts w:hint="eastAsia"/>
        </w:rPr>
        <w:t>采样频率</w:t>
      </w:r>
    </w:p>
    <w:p w:rsidR="00270851" w:rsidRPr="00270851" w:rsidRDefault="00270851" w:rsidP="00270851">
      <w:pPr>
        <w:pStyle w:val="affe"/>
        <w:spacing w:before="120" w:after="120"/>
        <w:rPr>
          <w:rFonts w:ascii="宋体" w:eastAsia="宋体" w:hAnsi="宋体"/>
        </w:rPr>
      </w:pPr>
      <w:r w:rsidRPr="00270851">
        <w:rPr>
          <w:rFonts w:hint="eastAsia"/>
        </w:rPr>
        <w:t>1</w:t>
      </w:r>
      <w:r w:rsidRPr="00270851">
        <w:rPr>
          <w:rFonts w:ascii="宋体" w:eastAsia="宋体" w:hAnsi="宋体" w:hint="eastAsia"/>
        </w:rPr>
        <w:t xml:space="preserve"> 区区域应具有最高的采样频率，宜每天（食品生产）或每周（餐饮加工）进行，在每次清洗后或消毒后完成采样和检测。</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2区区域，应保证足够的采样频率，以保持清洁和卫生水平，确保不出现较大的问题，应至少每周或完成一次采样和测试。</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3区和4区中的食品接触表面，每周至少检测一次。区域内高风险区域，每周中至少一次，周末至少一次。</w:t>
      </w:r>
    </w:p>
    <w:p w:rsidR="00270851" w:rsidRPr="00270851" w:rsidRDefault="00270851" w:rsidP="00270851">
      <w:pPr>
        <w:pStyle w:val="affe"/>
        <w:spacing w:before="120" w:after="120"/>
        <w:rPr>
          <w:rFonts w:ascii="宋体" w:eastAsia="宋体" w:hAnsi="宋体"/>
        </w:rPr>
      </w:pPr>
      <w:r w:rsidRPr="00270851">
        <w:rPr>
          <w:rFonts w:ascii="宋体" w:eastAsia="宋体" w:hAnsi="宋体" w:hint="eastAsia"/>
        </w:rPr>
        <w:t>3区和4区中的其他非食品接触面，每2周至少检测一次。</w:t>
      </w:r>
    </w:p>
    <w:p w:rsidR="00270851" w:rsidRPr="00270851" w:rsidRDefault="00270851" w:rsidP="00270851">
      <w:pPr>
        <w:pStyle w:val="affd"/>
        <w:spacing w:before="120" w:after="120"/>
      </w:pPr>
      <w:r w:rsidRPr="00270851">
        <w:rPr>
          <w:rFonts w:hint="eastAsia"/>
        </w:rPr>
        <w:t>限量确定</w:t>
      </w:r>
    </w:p>
    <w:p w:rsidR="00270851" w:rsidRPr="00270851" w:rsidRDefault="00270851" w:rsidP="00270851">
      <w:pPr>
        <w:pStyle w:val="affe"/>
        <w:spacing w:before="120" w:after="120"/>
      </w:pPr>
      <w:r w:rsidRPr="00270851">
        <w:rPr>
          <w:rFonts w:hint="eastAsia"/>
        </w:rPr>
        <w:t>简单方法的确定。</w:t>
      </w:r>
    </w:p>
    <w:p w:rsidR="00270851" w:rsidRDefault="00270851" w:rsidP="00270851">
      <w:pPr>
        <w:pStyle w:val="affffb"/>
        <w:ind w:firstLine="420"/>
      </w:pPr>
      <w:r>
        <w:rPr>
          <w:rFonts w:hint="eastAsia"/>
        </w:rPr>
        <w:t>a）需要在常规清洗前后，对具有代表性的采样位点进行至少5次的采样和检测。</w:t>
      </w:r>
    </w:p>
    <w:p w:rsidR="00270851" w:rsidRDefault="00270851" w:rsidP="00270851">
      <w:pPr>
        <w:pStyle w:val="affffb"/>
        <w:ind w:firstLine="420"/>
      </w:pPr>
      <w:r>
        <w:rPr>
          <w:rFonts w:hint="eastAsia"/>
        </w:rPr>
        <w:t>b）还需在深度清洁后进行至少3次的采样和检测，以显示可实现的清洁目标。c）收集数据后，应进行审查，以确定清洁和不清洁的区分难易度，并根据情况应用合格 / 不合格等级。</w:t>
      </w:r>
    </w:p>
    <w:p w:rsidR="00270851" w:rsidRDefault="00270851" w:rsidP="00270851">
      <w:pPr>
        <w:pStyle w:val="affffb"/>
        <w:ind w:firstLine="420"/>
      </w:pPr>
      <w:r>
        <w:rPr>
          <w:rFonts w:hint="eastAsia"/>
        </w:rPr>
        <w:lastRenderedPageBreak/>
        <w:t>d）当目的是立即改善卫生状况，基于深度清洁的结果确定清洁水平。</w:t>
      </w:r>
    </w:p>
    <w:p w:rsidR="00270851" w:rsidRPr="00270851" w:rsidRDefault="00270851" w:rsidP="00270851">
      <w:pPr>
        <w:pStyle w:val="affffb"/>
        <w:ind w:firstLine="420"/>
      </w:pPr>
      <w:r>
        <w:rPr>
          <w:rFonts w:hint="eastAsia"/>
        </w:rPr>
        <w:t>e）当目的是保持目前的水平，基于当前常规清洁的结果确定清洁水平。</w:t>
      </w:r>
    </w:p>
    <w:p w:rsidR="00270851" w:rsidRPr="00270851" w:rsidRDefault="00270851" w:rsidP="00270851">
      <w:pPr>
        <w:pStyle w:val="affe"/>
        <w:spacing w:before="120" w:after="120"/>
      </w:pPr>
      <w:r w:rsidRPr="00270851">
        <w:rPr>
          <w:rFonts w:hint="eastAsia"/>
        </w:rPr>
        <w:t>基于统计方法的确定。</w:t>
      </w:r>
    </w:p>
    <w:p w:rsidR="00270851" w:rsidRDefault="00270851" w:rsidP="00270851">
      <w:pPr>
        <w:pStyle w:val="affffb"/>
        <w:ind w:firstLine="420"/>
      </w:pPr>
      <w:r>
        <w:rPr>
          <w:rFonts w:hint="eastAsia"/>
        </w:rPr>
        <w:t>a）每个采样位点需要从清洁后的表面至少收集30次测试结果。</w:t>
      </w:r>
    </w:p>
    <w:p w:rsidR="00270851" w:rsidRDefault="00270851" w:rsidP="00270851">
      <w:pPr>
        <w:pStyle w:val="affffb"/>
        <w:ind w:firstLine="420"/>
      </w:pPr>
      <w:r>
        <w:rPr>
          <w:rFonts w:hint="eastAsia"/>
        </w:rPr>
        <w:t>b）数据收集后，应进行初步审查，排除任何可能扭曲结果的明显异常值（高 RLU 值），以确认数据集是可接受的。如果结果不稳定，说明清洗过程变化很大，应进行检查并稳定结果。</w:t>
      </w:r>
    </w:p>
    <w:p w:rsidR="00270851" w:rsidRDefault="00270851" w:rsidP="00270851">
      <w:pPr>
        <w:pStyle w:val="affffb"/>
        <w:ind w:firstLine="420"/>
      </w:pPr>
      <w:r>
        <w:rPr>
          <w:rFonts w:hint="eastAsia"/>
        </w:rPr>
        <w:t>c）计算每个采样点可接受数据集的平均值和标准差。将平均值确定为合格值。平均值加上3倍标准差为不合格值。</w:t>
      </w:r>
    </w:p>
    <w:p w:rsidR="00270851" w:rsidRPr="00270851" w:rsidRDefault="00270851" w:rsidP="00270851">
      <w:pPr>
        <w:pStyle w:val="affd"/>
        <w:spacing w:before="120" w:after="120"/>
      </w:pPr>
      <w:r w:rsidRPr="00270851">
        <w:rPr>
          <w:rFonts w:hint="eastAsia"/>
        </w:rPr>
        <w:t>样品采集</w:t>
      </w:r>
    </w:p>
    <w:p w:rsidR="00270851" w:rsidRPr="00C43F8F" w:rsidRDefault="00270851" w:rsidP="00270851">
      <w:pPr>
        <w:pStyle w:val="affe"/>
        <w:spacing w:before="120" w:after="120"/>
        <w:rPr>
          <w:rFonts w:ascii="宋体" w:eastAsia="宋体" w:hAnsi="宋体"/>
        </w:rPr>
      </w:pPr>
      <w:r w:rsidRPr="00C43F8F">
        <w:rPr>
          <w:rFonts w:ascii="宋体" w:eastAsia="宋体" w:hAnsi="宋体" w:hint="eastAsia"/>
        </w:rPr>
        <w:t>将Clean-TraceTM ATP表面检测拭子在使用前在室温下放置至少10分钟。使用前，从铝箔袋中取出检测拭子。抓紧检测拭子手柄并从检测装置中取出检测拭子。</w:t>
      </w:r>
    </w:p>
    <w:p w:rsidR="00C43F8F" w:rsidRPr="00C43F8F" w:rsidRDefault="00C43F8F" w:rsidP="00C43F8F">
      <w:pPr>
        <w:pStyle w:val="affe"/>
        <w:spacing w:before="120" w:after="120"/>
        <w:rPr>
          <w:rFonts w:ascii="宋体" w:eastAsia="宋体" w:hAnsi="宋体"/>
        </w:rPr>
      </w:pPr>
      <w:r w:rsidRPr="00C43F8F">
        <w:rPr>
          <w:rFonts w:ascii="宋体" w:eastAsia="宋体" w:hAnsi="宋体" w:hint="eastAsia"/>
        </w:rPr>
        <w:t>使用检测拭子涂抹大约</w:t>
      </w:r>
      <w:r w:rsidRPr="00C43F8F">
        <w:rPr>
          <w:rFonts w:ascii="宋体" w:eastAsia="宋体" w:hAnsi="宋体"/>
        </w:rPr>
        <w:t xml:space="preserve">10 cm </w:t>
      </w:r>
      <w:r w:rsidRPr="00C43F8F">
        <w:rPr>
          <w:rFonts w:ascii="MS Gothic" w:eastAsia="MS Gothic" w:hAnsi="MS Gothic" w:cs="MS Gothic" w:hint="eastAsia"/>
        </w:rPr>
        <w:t>✕</w:t>
      </w:r>
      <w:r w:rsidRPr="00C43F8F">
        <w:rPr>
          <w:rFonts w:ascii="宋体" w:eastAsia="宋体" w:hAnsi="宋体"/>
        </w:rPr>
        <w:t xml:space="preserve"> 10 cm</w:t>
      </w:r>
      <w:r w:rsidRPr="00C43F8F">
        <w:rPr>
          <w:rFonts w:ascii="宋体" w:eastAsia="宋体" w:hAnsi="宋体" w:hint="eastAsia"/>
        </w:rPr>
        <w:t>的区域，先从一个方向涂抹，然后将检测拭子旋转后从相反方向涂抹。在采样过程中，对检测拭子头施加一些压力，让检测拭子头与表面成</w:t>
      </w:r>
      <w:r w:rsidRPr="00C43F8F">
        <w:rPr>
          <w:rFonts w:ascii="宋体" w:eastAsia="宋体" w:hAnsi="宋体"/>
        </w:rPr>
        <w:t>30°</w:t>
      </w:r>
      <w:r w:rsidRPr="00C43F8F">
        <w:rPr>
          <w:rFonts w:ascii="宋体" w:eastAsia="宋体" w:hAnsi="宋体" w:hint="eastAsia"/>
        </w:rPr>
        <w:t>夹角，充分与待采表面充分接触。</w:t>
      </w:r>
    </w:p>
    <w:p w:rsidR="00C43F8F" w:rsidRPr="00C43F8F" w:rsidRDefault="00C43F8F" w:rsidP="00C43F8F">
      <w:pPr>
        <w:pStyle w:val="affe"/>
        <w:spacing w:before="120" w:after="120"/>
        <w:rPr>
          <w:rFonts w:ascii="宋体" w:eastAsia="宋体" w:hAnsi="宋体"/>
        </w:rPr>
      </w:pPr>
      <w:r w:rsidRPr="00C43F8F">
        <w:rPr>
          <w:rFonts w:ascii="宋体" w:eastAsia="宋体" w:hAnsi="宋体" w:hint="eastAsia"/>
        </w:rPr>
        <w:t>对平坦、光滑、规则的食品接触表面可直接涂抹100 cm2的面积；对凹凸、粗糙、弯折的操作表面应根据实际情况进行调整；当待采样表面面积不足100 cm2时，可以从多个同类型、同位置下进行涂抹采样，累计满足100cm2作为1件样品。</w:t>
      </w:r>
    </w:p>
    <w:p w:rsidR="006D6392" w:rsidRDefault="00C43F8F" w:rsidP="006D6392">
      <w:pPr>
        <w:pStyle w:val="affe"/>
        <w:spacing w:before="120" w:after="120"/>
      </w:pPr>
      <w:r w:rsidRPr="006D6392">
        <w:rPr>
          <w:rFonts w:hint="eastAsia"/>
        </w:rPr>
        <w:t>ATP检测拭子头在采样过程不允许接触除待测表面外的其他材料或表面。</w:t>
      </w:r>
    </w:p>
    <w:p w:rsidR="00270851" w:rsidRDefault="006D6392" w:rsidP="006D6392">
      <w:pPr>
        <w:pStyle w:val="affe"/>
        <w:spacing w:before="120" w:after="120"/>
        <w:rPr>
          <w:rFonts w:ascii="宋体" w:eastAsia="宋体" w:hAnsi="宋体"/>
        </w:rPr>
      </w:pPr>
      <w:r w:rsidRPr="006D6392">
        <w:rPr>
          <w:rFonts w:ascii="宋体" w:eastAsia="宋体" w:hAnsi="宋体" w:hint="eastAsia"/>
        </w:rPr>
        <w:t>具体位点涂抹手法：</w:t>
      </w:r>
    </w:p>
    <w:p w:rsidR="006D6392" w:rsidRDefault="006D6392" w:rsidP="006D6392">
      <w:pPr>
        <w:pStyle w:val="affffb"/>
        <w:ind w:firstLine="420"/>
      </w:pPr>
      <w:r>
        <w:rPr>
          <w:rFonts w:hint="eastAsia"/>
        </w:rPr>
        <w:t>a）操作工手部：涂抹整个手掌和手指以及所有掌纹，来回涂抹手指间两次。</w:t>
      </w:r>
    </w:p>
    <w:p w:rsidR="006D6392" w:rsidRDefault="006D6392" w:rsidP="006D6392">
      <w:pPr>
        <w:pStyle w:val="affffb"/>
        <w:ind w:firstLine="420"/>
      </w:pPr>
      <w:r>
        <w:rPr>
          <w:rFonts w:hint="eastAsia"/>
        </w:rPr>
        <w:t>b）平整表面：涂抹</w:t>
      </w:r>
      <w:r>
        <w:t xml:space="preserve">10 cm </w:t>
      </w:r>
      <w:r>
        <w:rPr>
          <w:rFonts w:ascii="Segoe UI Symbol" w:hAnsi="Segoe UI Symbol" w:cs="Segoe UI Symbol"/>
        </w:rPr>
        <w:t>✕</w:t>
      </w:r>
      <w:r>
        <w:t xml:space="preserve"> 10 cm </w:t>
      </w:r>
      <w:r>
        <w:rPr>
          <w:rFonts w:hint="eastAsia"/>
        </w:rPr>
        <w:t>的区域，随后更换方向再次</w:t>
      </w:r>
      <w:r>
        <w:t>Z</w:t>
      </w:r>
      <w:r>
        <w:rPr>
          <w:rFonts w:hint="eastAsia"/>
        </w:rPr>
        <w:t>字形涂抹，直至涂抹整个表面，所有折痕处来回</w:t>
      </w:r>
      <w:r>
        <w:t>2</w:t>
      </w:r>
      <w:r>
        <w:rPr>
          <w:rFonts w:hint="eastAsia"/>
        </w:rPr>
        <w:t>～</w:t>
      </w:r>
      <w:r>
        <w:t>3</w:t>
      </w:r>
      <w:r>
        <w:rPr>
          <w:rFonts w:hint="eastAsia"/>
        </w:rPr>
        <w:t>次加强涂抹。</w:t>
      </w:r>
    </w:p>
    <w:p w:rsidR="006D6392" w:rsidRDefault="006D6392" w:rsidP="006D6392">
      <w:pPr>
        <w:pStyle w:val="affffb"/>
        <w:ind w:firstLine="420"/>
      </w:pPr>
      <w:r>
        <w:rPr>
          <w:rFonts w:hint="eastAsia"/>
        </w:rPr>
        <w:t>c）镂空表面：涂抹表面，累积面积达100cm2，边缘、镂空处加强涂抹。</w:t>
      </w:r>
    </w:p>
    <w:p w:rsidR="006D6392" w:rsidRDefault="006D6392" w:rsidP="006D6392">
      <w:pPr>
        <w:pStyle w:val="affffb"/>
        <w:ind w:firstLine="420"/>
      </w:pPr>
      <w:r>
        <w:rPr>
          <w:rFonts w:hint="eastAsia"/>
        </w:rPr>
        <w:t>d）管状圆形接触面：在管口处，即1 cm - 5 cm 处一圈采样，用涂抹棒在内壁顺时针向内涂抹4圈，逆时针向管口涂抹4圈。</w:t>
      </w:r>
    </w:p>
    <w:p w:rsidR="006D6392" w:rsidRPr="006D6392" w:rsidRDefault="006D6392" w:rsidP="006D6392">
      <w:pPr>
        <w:pStyle w:val="affd"/>
        <w:spacing w:before="120" w:after="120"/>
      </w:pPr>
      <w:r w:rsidRPr="006D6392">
        <w:rPr>
          <w:rFonts w:hint="eastAsia"/>
        </w:rPr>
        <w:t>样品测试</w:t>
      </w:r>
    </w:p>
    <w:p w:rsidR="00364840" w:rsidRPr="00364840" w:rsidRDefault="00364840" w:rsidP="00364840">
      <w:pPr>
        <w:pStyle w:val="affe"/>
        <w:spacing w:before="120" w:after="120"/>
        <w:rPr>
          <w:rFonts w:ascii="宋体" w:eastAsia="宋体" w:hAnsi="宋体"/>
        </w:rPr>
      </w:pPr>
      <w:r w:rsidRPr="00364840">
        <w:rPr>
          <w:rFonts w:ascii="宋体" w:eastAsia="宋体" w:hAnsi="宋体" w:hint="eastAsia"/>
        </w:rPr>
        <w:t>将采样后的涂抹棒重新插入Clean TraceTM ATP表面检测拭子装置，用力向下按压Clean TraceTM ATP表面检测拭子手柄顶端，至手柄顶端与装置管的顶端平齐。抓紧检测装置顶端并从一侧到另一侧快速摇晃至少5秒钟，以混合样品和荧光素及荧光素酶。</w:t>
      </w:r>
    </w:p>
    <w:p w:rsidR="00364840" w:rsidRPr="00364840" w:rsidRDefault="00364840" w:rsidP="00364840">
      <w:pPr>
        <w:pStyle w:val="affe"/>
        <w:spacing w:before="120" w:after="120"/>
        <w:rPr>
          <w:rFonts w:ascii="宋体" w:eastAsia="宋体" w:hAnsi="宋体"/>
        </w:rPr>
      </w:pPr>
      <w:r w:rsidRPr="00364840">
        <w:rPr>
          <w:rFonts w:ascii="宋体" w:eastAsia="宋体" w:hAnsi="宋体" w:hint="eastAsia"/>
        </w:rPr>
        <w:t>立即打开Clean TraceTM LM1 荧光检测仪样品舱，并将Clean TraceTM ATP表面检测拭子装置插入。关上样品舱盖，并按压测定按钮，Clean TraceTM ATP表面检测拭子发出的光强度被测定，且结果出现在显示屏上，记录仪器读取的RLU值。</w:t>
      </w:r>
    </w:p>
    <w:p w:rsidR="00364840" w:rsidRDefault="00364840" w:rsidP="00364840">
      <w:pPr>
        <w:pStyle w:val="affe"/>
        <w:spacing w:before="120" w:after="120"/>
        <w:rPr>
          <w:rFonts w:ascii="宋体" w:eastAsia="宋体" w:hAnsi="宋体"/>
        </w:rPr>
      </w:pPr>
      <w:r w:rsidRPr="00364840">
        <w:rPr>
          <w:rFonts w:ascii="宋体" w:eastAsia="宋体" w:hAnsi="宋体" w:hint="eastAsia"/>
        </w:rPr>
        <w:t>不同类型位点、不同接触面，用ATP测试进行清洁效果评价的相对光单位的推荐限值</w:t>
      </w:r>
      <w:r>
        <w:rPr>
          <w:rFonts w:ascii="宋体" w:eastAsia="宋体" w:hAnsi="宋体" w:hint="eastAsia"/>
        </w:rPr>
        <w:t>应符合</w:t>
      </w:r>
      <w:r w:rsidRPr="00364840">
        <w:rPr>
          <w:rFonts w:ascii="宋体" w:eastAsia="宋体" w:hAnsi="宋体" w:hint="eastAsia"/>
        </w:rPr>
        <w:t>表1</w:t>
      </w:r>
      <w:r>
        <w:rPr>
          <w:rFonts w:ascii="宋体" w:eastAsia="宋体" w:hAnsi="宋体" w:hint="eastAsia"/>
        </w:rPr>
        <w:t>中的规定</w:t>
      </w:r>
      <w:r w:rsidRPr="00364840">
        <w:rPr>
          <w:rFonts w:ascii="宋体" w:eastAsia="宋体" w:hAnsi="宋体" w:hint="eastAsia"/>
        </w:rPr>
        <w:t>。</w:t>
      </w:r>
    </w:p>
    <w:p w:rsidR="00364840" w:rsidRDefault="00364840" w:rsidP="00364840">
      <w:pPr>
        <w:pStyle w:val="affe"/>
        <w:numPr>
          <w:ilvl w:val="0"/>
          <w:numId w:val="0"/>
        </w:numPr>
        <w:spacing w:before="120" w:after="120"/>
        <w:ind w:left="142"/>
        <w:jc w:val="center"/>
      </w:pPr>
      <w:r w:rsidRPr="00364840">
        <w:rPr>
          <w:rFonts w:hint="eastAsia"/>
        </w:rPr>
        <w:t>表1 ATP评价测试结果判定</w:t>
      </w:r>
    </w:p>
    <w:tbl>
      <w:tblPr>
        <w:tblStyle w:val="afffffffffc"/>
        <w:tblW w:w="5000" w:type="pct"/>
        <w:tblLook w:val="04A0" w:firstRow="1" w:lastRow="0" w:firstColumn="1" w:lastColumn="0" w:noHBand="0" w:noVBand="1"/>
      </w:tblPr>
      <w:tblGrid>
        <w:gridCol w:w="1299"/>
        <w:gridCol w:w="1207"/>
        <w:gridCol w:w="2700"/>
        <w:gridCol w:w="1362"/>
        <w:gridCol w:w="1432"/>
        <w:gridCol w:w="1344"/>
      </w:tblGrid>
      <w:tr w:rsidR="00364840" w:rsidRPr="00D6229B" w:rsidTr="00447F8A">
        <w:tc>
          <w:tcPr>
            <w:tcW w:w="695" w:type="pct"/>
            <w:vMerge w:val="restar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材质类型</w:t>
            </w:r>
          </w:p>
        </w:tc>
        <w:tc>
          <w:tcPr>
            <w:tcW w:w="646" w:type="pct"/>
            <w:vMerge w:val="restar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位点类型</w:t>
            </w:r>
          </w:p>
        </w:tc>
        <w:tc>
          <w:tcPr>
            <w:tcW w:w="1445" w:type="pct"/>
            <w:vMerge w:val="restar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食品接触面/非食品接触面</w:t>
            </w:r>
          </w:p>
        </w:tc>
        <w:tc>
          <w:tcPr>
            <w:tcW w:w="2214" w:type="pct"/>
            <w:gridSpan w:val="3"/>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相对光单位（RLU）</w:t>
            </w:r>
          </w:p>
        </w:tc>
      </w:tr>
      <w:tr w:rsidR="00364840" w:rsidRPr="00D6229B" w:rsidTr="00447F8A">
        <w:tc>
          <w:tcPr>
            <w:tcW w:w="695" w:type="pct"/>
            <w:vMerge/>
            <w:vAlign w:val="center"/>
          </w:tcPr>
          <w:p w:rsidR="00364840" w:rsidRPr="00D6229B" w:rsidRDefault="00364840" w:rsidP="00447F8A">
            <w:pPr>
              <w:spacing w:line="240" w:lineRule="auto"/>
              <w:jc w:val="center"/>
              <w:rPr>
                <w:rFonts w:ascii="宋体" w:hAnsi="宋体" w:cs="微软雅黑"/>
                <w:b/>
              </w:rPr>
            </w:pPr>
          </w:p>
        </w:tc>
        <w:tc>
          <w:tcPr>
            <w:tcW w:w="646" w:type="pct"/>
            <w:vMerge/>
            <w:vAlign w:val="center"/>
          </w:tcPr>
          <w:p w:rsidR="00364840" w:rsidRPr="00D6229B" w:rsidRDefault="00364840" w:rsidP="00447F8A">
            <w:pPr>
              <w:spacing w:line="240" w:lineRule="auto"/>
              <w:jc w:val="center"/>
              <w:rPr>
                <w:rFonts w:ascii="宋体" w:hAnsi="宋体" w:cs="微软雅黑"/>
                <w:b/>
              </w:rPr>
            </w:pPr>
          </w:p>
        </w:tc>
        <w:tc>
          <w:tcPr>
            <w:tcW w:w="1445" w:type="pct"/>
            <w:vMerge/>
          </w:tcPr>
          <w:p w:rsidR="00364840" w:rsidRPr="00D6229B" w:rsidRDefault="00364840" w:rsidP="00447F8A">
            <w:pPr>
              <w:spacing w:line="240" w:lineRule="auto"/>
              <w:jc w:val="center"/>
              <w:rPr>
                <w:rFonts w:ascii="宋体" w:hAnsi="宋体" w:cs="微软雅黑"/>
                <w:b/>
              </w:rPr>
            </w:pPr>
          </w:p>
        </w:tc>
        <w:tc>
          <w:tcPr>
            <w:tcW w:w="729"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可接受</w:t>
            </w:r>
          </w:p>
        </w:tc>
        <w:tc>
          <w:tcPr>
            <w:tcW w:w="76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警惕</w:t>
            </w:r>
          </w:p>
        </w:tc>
        <w:tc>
          <w:tcPr>
            <w:tcW w:w="719"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不可接受</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NA</w:t>
            </w:r>
          </w:p>
        </w:tc>
        <w:tc>
          <w:tcPr>
            <w:tcW w:w="64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操作工手部</w:t>
            </w:r>
          </w:p>
        </w:tc>
        <w:tc>
          <w:tcPr>
            <w:tcW w:w="144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 500</w:t>
            </w:r>
          </w:p>
        </w:tc>
        <w:tc>
          <w:tcPr>
            <w:tcW w:w="766"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500 &lt; RLU ≤ 1000</w:t>
            </w:r>
          </w:p>
        </w:tc>
        <w:tc>
          <w:tcPr>
            <w:tcW w:w="71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&gt; 1000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不锈钢</w:t>
            </w:r>
          </w:p>
        </w:tc>
        <w:tc>
          <w:tcPr>
            <w:tcW w:w="64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台面、灌装口、托盘、制冰</w:t>
            </w:r>
            <w:r w:rsidRPr="00D6229B">
              <w:rPr>
                <w:rFonts w:ascii="宋体" w:hAnsi="宋体" w:cs="微软雅黑" w:hint="eastAsia"/>
              </w:rPr>
              <w:lastRenderedPageBreak/>
              <w:t>机、储冰槽、搅拌器、秤盘、切片机、碎肉机</w:t>
            </w:r>
          </w:p>
        </w:tc>
        <w:tc>
          <w:tcPr>
            <w:tcW w:w="144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lastRenderedPageBreak/>
              <w:t>食品接触面</w:t>
            </w:r>
          </w:p>
        </w:tc>
        <w:tc>
          <w:tcPr>
            <w:tcW w:w="72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 500</w:t>
            </w:r>
          </w:p>
        </w:tc>
        <w:tc>
          <w:tcPr>
            <w:tcW w:w="766"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500 &lt; RLU ≤ 1000</w:t>
            </w:r>
          </w:p>
        </w:tc>
        <w:tc>
          <w:tcPr>
            <w:tcW w:w="71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&gt; 1000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lastRenderedPageBreak/>
              <w:t>不锈钢</w:t>
            </w:r>
          </w:p>
        </w:tc>
        <w:tc>
          <w:tcPr>
            <w:tcW w:w="64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刀面、食品夹、调理盒及盖子、面包机立式托盘、卧式面包机</w:t>
            </w:r>
          </w:p>
        </w:tc>
        <w:tc>
          <w:tcPr>
            <w:tcW w:w="144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 250</w:t>
            </w:r>
          </w:p>
        </w:tc>
        <w:tc>
          <w:tcPr>
            <w:tcW w:w="766"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250 &lt; RLU ≤ 500</w:t>
            </w:r>
          </w:p>
        </w:tc>
        <w:tc>
          <w:tcPr>
            <w:tcW w:w="71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&gt; 500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PVC</w:t>
            </w:r>
          </w:p>
        </w:tc>
        <w:tc>
          <w:tcPr>
            <w:tcW w:w="64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托盘、砧板</w:t>
            </w:r>
          </w:p>
        </w:tc>
        <w:tc>
          <w:tcPr>
            <w:tcW w:w="144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 1000</w:t>
            </w:r>
          </w:p>
        </w:tc>
        <w:tc>
          <w:tcPr>
            <w:tcW w:w="766"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1000 &lt; RLU ≤ 2000</w:t>
            </w:r>
          </w:p>
        </w:tc>
        <w:tc>
          <w:tcPr>
            <w:tcW w:w="71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&gt; 2000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陶瓷</w:t>
            </w:r>
          </w:p>
        </w:tc>
        <w:tc>
          <w:tcPr>
            <w:tcW w:w="64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碗</w:t>
            </w:r>
          </w:p>
        </w:tc>
        <w:tc>
          <w:tcPr>
            <w:tcW w:w="144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 500</w:t>
            </w:r>
          </w:p>
        </w:tc>
        <w:tc>
          <w:tcPr>
            <w:tcW w:w="766"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500 &lt; RLU ≤ 1000</w:t>
            </w:r>
          </w:p>
        </w:tc>
        <w:tc>
          <w:tcPr>
            <w:tcW w:w="71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&gt; 1000</w:t>
            </w:r>
          </w:p>
        </w:tc>
      </w:tr>
      <w:tr w:rsidR="00364840" w:rsidRPr="00D6229B" w:rsidTr="00447F8A">
        <w:trPr>
          <w:trHeight w:val="1722"/>
        </w:trPr>
        <w:tc>
          <w:tcPr>
            <w:tcW w:w="69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冰淇淋机、预备容器、食品容器</w:t>
            </w:r>
          </w:p>
        </w:tc>
        <w:tc>
          <w:tcPr>
            <w:tcW w:w="144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500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500 &lt; RLU ≤ 1000</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1000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循环果汁机配件</w:t>
            </w:r>
          </w:p>
        </w:tc>
        <w:tc>
          <w:tcPr>
            <w:tcW w:w="144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1000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1000 &lt; RLU ≤ 2000</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2000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液体CIP系统、高风险表面</w:t>
            </w:r>
          </w:p>
        </w:tc>
        <w:tc>
          <w:tcPr>
            <w:tcW w:w="144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 xml:space="preserve">≤ </w:t>
            </w:r>
            <w:r w:rsidRPr="00D6229B">
              <w:rPr>
                <w:rFonts w:ascii="宋体" w:hAnsi="宋体" w:cs="微软雅黑"/>
              </w:rPr>
              <w:t>150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151 &lt; RLU ≤ 299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300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肉制点心工序、食用肉工序、馅饼工序</w:t>
            </w:r>
          </w:p>
        </w:tc>
        <w:tc>
          <w:tcPr>
            <w:tcW w:w="144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250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251 &lt; RLU ≤ 499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500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鱼类工序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300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301 &lt; RLU ≤ 599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600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贝壳类工序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1000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1001 &lt; RLU ≤ 1999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2000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奶酪工序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200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251 &lt; RLU ≤ 499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500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方便即食食品工序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300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301 &lt; RLU ≤ 599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600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蔬菜、水果加工工序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250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251 &lt; RLU ≤ 499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500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烘焙糕点工序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200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201 &lt; RLU ≤ 399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400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不锈钢</w:t>
            </w:r>
          </w:p>
        </w:tc>
        <w:tc>
          <w:tcPr>
            <w:tcW w:w="646"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t>手推车、冷冻门把手、冷却</w:t>
            </w:r>
            <w:r w:rsidRPr="00D6229B">
              <w:rPr>
                <w:rFonts w:ascii="宋体" w:hAnsi="宋体" w:cs="微软雅黑" w:hint="eastAsia"/>
              </w:rPr>
              <w:lastRenderedPageBreak/>
              <w:t>厨柜门把手</w:t>
            </w:r>
          </w:p>
        </w:tc>
        <w:tc>
          <w:tcPr>
            <w:tcW w:w="1445" w:type="pct"/>
            <w:vAlign w:val="center"/>
          </w:tcPr>
          <w:p w:rsidR="00364840" w:rsidRPr="00D6229B" w:rsidRDefault="00364840" w:rsidP="00447F8A">
            <w:pPr>
              <w:spacing w:line="240" w:lineRule="auto"/>
              <w:jc w:val="center"/>
              <w:rPr>
                <w:rFonts w:ascii="宋体" w:hAnsi="宋体" w:cs="微软雅黑"/>
                <w:b/>
              </w:rPr>
            </w:pPr>
            <w:r w:rsidRPr="00D6229B">
              <w:rPr>
                <w:rFonts w:ascii="宋体" w:hAnsi="宋体" w:cs="微软雅黑" w:hint="eastAsia"/>
              </w:rPr>
              <w:lastRenderedPageBreak/>
              <w:t>非食品接触面</w:t>
            </w:r>
          </w:p>
        </w:tc>
        <w:tc>
          <w:tcPr>
            <w:tcW w:w="72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 1000</w:t>
            </w:r>
          </w:p>
        </w:tc>
        <w:tc>
          <w:tcPr>
            <w:tcW w:w="766"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1000 &lt; RLU ≤ 2000</w:t>
            </w:r>
          </w:p>
        </w:tc>
        <w:tc>
          <w:tcPr>
            <w:tcW w:w="719" w:type="pct"/>
            <w:vAlign w:val="center"/>
          </w:tcPr>
          <w:p w:rsidR="00364840" w:rsidRPr="00D6229B" w:rsidRDefault="00364840" w:rsidP="00447F8A">
            <w:pPr>
              <w:spacing w:line="240" w:lineRule="auto"/>
              <w:jc w:val="center"/>
              <w:rPr>
                <w:rFonts w:ascii="Times New Roman" w:hAnsi="Times New Roman"/>
                <w:b/>
              </w:rPr>
            </w:pPr>
            <w:r w:rsidRPr="00D6229B">
              <w:rPr>
                <w:rFonts w:ascii="Times New Roman" w:hAnsi="Times New Roman"/>
              </w:rPr>
              <w:t>&gt; 2000</w:t>
            </w:r>
          </w:p>
        </w:tc>
      </w:tr>
      <w:tr w:rsidR="00364840" w:rsidRPr="00D6229B" w:rsidTr="00447F8A">
        <w:tc>
          <w:tcPr>
            <w:tcW w:w="69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lastRenderedPageBreak/>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肉制点心工序、方便即食食品工序、蔬菜和水果加工工序</w:t>
            </w:r>
          </w:p>
        </w:tc>
        <w:tc>
          <w:tcPr>
            <w:tcW w:w="1445"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非食品接触面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500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501 &lt; RLU ≤ 999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1000</w:t>
            </w:r>
          </w:p>
        </w:tc>
      </w:tr>
      <w:tr w:rsidR="00364840" w:rsidRPr="00D6229B" w:rsidTr="00447F8A">
        <w:tc>
          <w:tcPr>
            <w:tcW w:w="69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混合</w:t>
            </w:r>
          </w:p>
        </w:tc>
        <w:tc>
          <w:tcPr>
            <w:tcW w:w="646" w:type="pct"/>
            <w:vAlign w:val="center"/>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烘焙糕点工序</w:t>
            </w:r>
          </w:p>
        </w:tc>
        <w:tc>
          <w:tcPr>
            <w:tcW w:w="1445" w:type="pct"/>
          </w:tcPr>
          <w:p w:rsidR="00364840" w:rsidRPr="00D6229B" w:rsidRDefault="00364840" w:rsidP="00447F8A">
            <w:pPr>
              <w:spacing w:line="240" w:lineRule="auto"/>
              <w:jc w:val="center"/>
              <w:rPr>
                <w:rFonts w:ascii="宋体" w:hAnsi="宋体" w:cs="微软雅黑"/>
              </w:rPr>
            </w:pPr>
            <w:r w:rsidRPr="00D6229B">
              <w:rPr>
                <w:rFonts w:ascii="宋体" w:hAnsi="宋体" w:cs="微软雅黑" w:hint="eastAsia"/>
              </w:rPr>
              <w:t>非食品接触面</w:t>
            </w:r>
          </w:p>
        </w:tc>
        <w:tc>
          <w:tcPr>
            <w:tcW w:w="72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 300</w:t>
            </w:r>
          </w:p>
        </w:tc>
        <w:tc>
          <w:tcPr>
            <w:tcW w:w="766"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301 &lt; RLU ≤ 599</w:t>
            </w:r>
          </w:p>
        </w:tc>
        <w:tc>
          <w:tcPr>
            <w:tcW w:w="719" w:type="pct"/>
            <w:vAlign w:val="center"/>
          </w:tcPr>
          <w:p w:rsidR="00364840" w:rsidRPr="00D6229B" w:rsidRDefault="00364840" w:rsidP="00447F8A">
            <w:pPr>
              <w:spacing w:line="240" w:lineRule="auto"/>
              <w:jc w:val="center"/>
              <w:rPr>
                <w:rFonts w:ascii="Times New Roman" w:hAnsi="Times New Roman"/>
              </w:rPr>
            </w:pPr>
            <w:r w:rsidRPr="00D6229B">
              <w:rPr>
                <w:rFonts w:ascii="Times New Roman" w:hAnsi="Times New Roman"/>
              </w:rPr>
              <w:t>&gt; 600</w:t>
            </w:r>
          </w:p>
        </w:tc>
      </w:tr>
    </w:tbl>
    <w:p w:rsidR="00364840" w:rsidRPr="00364840" w:rsidRDefault="00364840" w:rsidP="00364840">
      <w:pPr>
        <w:pStyle w:val="affd"/>
        <w:spacing w:before="120" w:after="120"/>
      </w:pPr>
      <w:r w:rsidRPr="00364840">
        <w:rPr>
          <w:rFonts w:hint="eastAsia"/>
        </w:rPr>
        <w:t>纠偏措施</w:t>
      </w:r>
    </w:p>
    <w:p w:rsidR="005279D3" w:rsidRPr="005279D3" w:rsidRDefault="005279D3" w:rsidP="005279D3">
      <w:pPr>
        <w:pStyle w:val="affe"/>
        <w:spacing w:before="120" w:after="120"/>
        <w:rPr>
          <w:rFonts w:ascii="宋体" w:eastAsia="宋体" w:hAnsi="宋体"/>
        </w:rPr>
      </w:pPr>
      <w:r w:rsidRPr="005279D3">
        <w:rPr>
          <w:rFonts w:ascii="宋体" w:eastAsia="宋体" w:hAnsi="宋体" w:hint="eastAsia"/>
        </w:rPr>
        <w:t>结果不合格的情况下，采取纠偏措施，并作为质量体系的一部分加以记录，并采取纠偏措施以防止再次发生。</w:t>
      </w:r>
    </w:p>
    <w:p w:rsidR="005279D3" w:rsidRPr="005279D3" w:rsidRDefault="005279D3" w:rsidP="005279D3">
      <w:pPr>
        <w:pStyle w:val="affe"/>
        <w:spacing w:before="120" w:after="120"/>
        <w:rPr>
          <w:rFonts w:ascii="宋体" w:eastAsia="宋体" w:hAnsi="宋体"/>
        </w:rPr>
      </w:pPr>
      <w:r w:rsidRPr="005279D3">
        <w:rPr>
          <w:rFonts w:ascii="宋体" w:eastAsia="宋体" w:hAnsi="宋体" w:hint="eastAsia"/>
        </w:rPr>
        <w:t>食品接触面，若检测结果合格，则无需采取措施。</w:t>
      </w:r>
    </w:p>
    <w:p w:rsidR="005279D3" w:rsidRPr="005279D3" w:rsidRDefault="005279D3" w:rsidP="005279D3">
      <w:pPr>
        <w:pStyle w:val="affe"/>
        <w:spacing w:before="120" w:after="120"/>
        <w:rPr>
          <w:rFonts w:ascii="宋体" w:eastAsia="宋体" w:hAnsi="宋体"/>
        </w:rPr>
      </w:pPr>
      <w:r w:rsidRPr="005279D3">
        <w:rPr>
          <w:rFonts w:ascii="宋体" w:eastAsia="宋体" w:hAnsi="宋体" w:hint="eastAsia"/>
        </w:rPr>
        <w:t>食品接触面，若检测结果处在警告区域或不合格，则首先确保清洁程序被正确执行，然后重新进行清洁。必要时，进行设备替换。</w:t>
      </w:r>
    </w:p>
    <w:p w:rsidR="00364840" w:rsidRDefault="005279D3" w:rsidP="005279D3">
      <w:pPr>
        <w:pStyle w:val="affe"/>
        <w:spacing w:before="120" w:after="120"/>
        <w:rPr>
          <w:rFonts w:ascii="宋体" w:eastAsia="宋体" w:hAnsi="宋体"/>
        </w:rPr>
      </w:pPr>
      <w:r w:rsidRPr="005279D3">
        <w:rPr>
          <w:rFonts w:ascii="宋体" w:eastAsia="宋体" w:hAnsi="宋体" w:hint="eastAsia"/>
        </w:rPr>
        <w:t>非食品接触面，若检测结果处在警告区域或不合格，则判断该位点是否对于产品的质量存在较高的影响。若影响较大，则首先确保清洁程序被正确执行，然后重新进行清洁，必要时，进行设备替换。若影响较小，则对结果进行记录，并观察下一次测试结果，如仍不合格，则重新进行清洁。</w:t>
      </w:r>
    </w:p>
    <w:p w:rsidR="005279D3" w:rsidRPr="005279D3" w:rsidRDefault="005279D3" w:rsidP="005279D3">
      <w:pPr>
        <w:pStyle w:val="affffb"/>
        <w:ind w:firstLineChars="0" w:firstLine="0"/>
        <w:jc w:val="center"/>
      </w:pPr>
      <w:bookmarkStart w:id="45" w:name="BookMark8"/>
      <w:bookmarkEnd w:id="23"/>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5279D3" w:rsidRPr="005279D3"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30" w:rsidRDefault="00B85430" w:rsidP="00D86DB7">
      <w:r>
        <w:separator/>
      </w:r>
    </w:p>
    <w:p w:rsidR="00B85430" w:rsidRDefault="00B85430"/>
    <w:p w:rsidR="00B85430" w:rsidRDefault="00B85430"/>
  </w:endnote>
  <w:endnote w:type="continuationSeparator" w:id="0">
    <w:p w:rsidR="00B85430" w:rsidRDefault="00B85430" w:rsidP="00D86DB7">
      <w:r>
        <w:continuationSeparator/>
      </w:r>
    </w:p>
    <w:p w:rsidR="00B85430" w:rsidRDefault="00B85430"/>
    <w:p w:rsidR="00B85430" w:rsidRDefault="00B85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BE784C" w:rsidRPr="00BE784C">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30" w:rsidRDefault="00B85430" w:rsidP="00D86DB7">
      <w:r>
        <w:separator/>
      </w:r>
    </w:p>
  </w:footnote>
  <w:footnote w:type="continuationSeparator" w:id="0">
    <w:p w:rsidR="00B85430" w:rsidRDefault="00B85430" w:rsidP="00D86DB7">
      <w:r>
        <w:continuationSeparator/>
      </w:r>
    </w:p>
    <w:p w:rsidR="00B85430" w:rsidRDefault="00B85430"/>
    <w:p w:rsidR="00B85430" w:rsidRDefault="00B8543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66BE6">
      <w:rPr>
        <w:noProof/>
      </w:rPr>
      <w:t>T/XXX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BE784C">
      <w:t>T/XXX XXXX</w:t>
    </w:r>
    <w:r w:rsidR="00BE784C">
      <w:t>—</w:t>
    </w:r>
    <w:r w:rsidR="00BE784C">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E6"/>
    <w:rsid w:val="0000040A"/>
    <w:rsid w:val="00000A94"/>
    <w:rsid w:val="00001972"/>
    <w:rsid w:val="00001D9A"/>
    <w:rsid w:val="00007B3A"/>
    <w:rsid w:val="000107E0"/>
    <w:rsid w:val="00011FDE"/>
    <w:rsid w:val="00012FFD"/>
    <w:rsid w:val="00014162"/>
    <w:rsid w:val="00014340"/>
    <w:rsid w:val="000156FE"/>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BAC"/>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26A"/>
    <w:rsid w:val="0022794E"/>
    <w:rsid w:val="00233D64"/>
    <w:rsid w:val="0023482A"/>
    <w:rsid w:val="00234B70"/>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851"/>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2BC"/>
    <w:rsid w:val="00344605"/>
    <w:rsid w:val="003474AA"/>
    <w:rsid w:val="00350D1D"/>
    <w:rsid w:val="00352C83"/>
    <w:rsid w:val="00352F1A"/>
    <w:rsid w:val="0036107C"/>
    <w:rsid w:val="003615D2"/>
    <w:rsid w:val="0036429C"/>
    <w:rsid w:val="00364840"/>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1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9D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BE6"/>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392"/>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173"/>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30E"/>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329"/>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97D"/>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1D2"/>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430"/>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436"/>
    <w:rsid w:val="00BE784C"/>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F8F"/>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15A"/>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0FF156-B4F2-4235-83B0-8C2A3E04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73BD2359748F5A09D0919ED0F43C6"/>
        <w:category>
          <w:name w:val="常规"/>
          <w:gallery w:val="placeholder"/>
        </w:category>
        <w:types>
          <w:type w:val="bbPlcHdr"/>
        </w:types>
        <w:behaviors>
          <w:behavior w:val="content"/>
        </w:behaviors>
        <w:guid w:val="{463B5365-6220-446B-A2E8-845DC36D0F8F}"/>
      </w:docPartPr>
      <w:docPartBody>
        <w:p w:rsidR="00EC199E" w:rsidRDefault="00F81219">
          <w:pPr>
            <w:pStyle w:val="15F73BD2359748F5A09D0919ED0F43C6"/>
          </w:pPr>
          <w:r w:rsidRPr="00751A05">
            <w:rPr>
              <w:rStyle w:val="a3"/>
              <w:rFonts w:hint="eastAsia"/>
            </w:rPr>
            <w:t>单击或点击此处输入文字。</w:t>
          </w:r>
        </w:p>
      </w:docPartBody>
    </w:docPart>
    <w:docPart>
      <w:docPartPr>
        <w:name w:val="50C92C43BF9A4AC28EAA5C3AB1E384A6"/>
        <w:category>
          <w:name w:val="常规"/>
          <w:gallery w:val="placeholder"/>
        </w:category>
        <w:types>
          <w:type w:val="bbPlcHdr"/>
        </w:types>
        <w:behaviors>
          <w:behavior w:val="content"/>
        </w:behaviors>
        <w:guid w:val="{C9A3476A-CDD2-48EF-9E4C-C4A4A57C2378}"/>
      </w:docPartPr>
      <w:docPartBody>
        <w:p w:rsidR="00EC199E" w:rsidRDefault="00F81219">
          <w:pPr>
            <w:pStyle w:val="50C92C43BF9A4AC28EAA5C3AB1E384A6"/>
          </w:pPr>
          <w:r w:rsidRPr="00FB6243">
            <w:rPr>
              <w:rStyle w:val="a3"/>
              <w:rFonts w:hint="eastAsia"/>
            </w:rPr>
            <w:t>选择一项。</w:t>
          </w:r>
        </w:p>
      </w:docPartBody>
    </w:docPart>
    <w:docPart>
      <w:docPartPr>
        <w:name w:val="947F70D949414191BC1047B41035C4E9"/>
        <w:category>
          <w:name w:val="常规"/>
          <w:gallery w:val="placeholder"/>
        </w:category>
        <w:types>
          <w:type w:val="bbPlcHdr"/>
        </w:types>
        <w:behaviors>
          <w:behavior w:val="content"/>
        </w:behaviors>
        <w:guid w:val="{E8CADBEB-3F93-4468-9B72-06290184990B}"/>
      </w:docPartPr>
      <w:docPartBody>
        <w:p w:rsidR="00EC199E" w:rsidRDefault="00F81219">
          <w:pPr>
            <w:pStyle w:val="947F70D949414191BC1047B41035C4E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19"/>
    <w:rsid w:val="0003525F"/>
    <w:rsid w:val="00607838"/>
    <w:rsid w:val="00A700F4"/>
    <w:rsid w:val="00EC199E"/>
    <w:rsid w:val="00F8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5F73BD2359748F5A09D0919ED0F43C6">
    <w:name w:val="15F73BD2359748F5A09D0919ED0F43C6"/>
    <w:pPr>
      <w:widowControl w:val="0"/>
      <w:jc w:val="both"/>
    </w:pPr>
  </w:style>
  <w:style w:type="paragraph" w:customStyle="1" w:styleId="50C92C43BF9A4AC28EAA5C3AB1E384A6">
    <w:name w:val="50C92C43BF9A4AC28EAA5C3AB1E384A6"/>
    <w:pPr>
      <w:widowControl w:val="0"/>
      <w:jc w:val="both"/>
    </w:pPr>
  </w:style>
  <w:style w:type="paragraph" w:customStyle="1" w:styleId="947F70D949414191BC1047B41035C4E9">
    <w:name w:val="947F70D949414191BC1047B41035C4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2081-5B45-4E47-A613-72D6B42B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49</TotalTime>
  <Pages>7</Pages>
  <Words>731</Words>
  <Characters>4169</Characters>
  <Application>Microsoft Office Word</Application>
  <DocSecurity>0</DocSecurity>
  <Lines>34</Lines>
  <Paragraphs>9</Paragraphs>
  <ScaleCrop>false</ScaleCrop>
  <Company>PCMI</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
  <cp:lastModifiedBy>Administrator</cp:lastModifiedBy>
  <cp:revision>5</cp:revision>
  <cp:lastPrinted>2021-02-02T08:22:00Z</cp:lastPrinted>
  <dcterms:created xsi:type="dcterms:W3CDTF">2022-07-01T08:24:00Z</dcterms:created>
  <dcterms:modified xsi:type="dcterms:W3CDTF">2022-07-05T08:17:00Z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