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009A" w14:textId="7C737590" w:rsidR="003D464F" w:rsidRDefault="003D464F" w:rsidP="003D464F">
      <w:pPr>
        <w:pStyle w:val="Ac"/>
        <w:framePr w:wrap="auto" w:yAlign="inline"/>
        <w:wordWrap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7FADF31A" w14:textId="77777777" w:rsidR="00644D56" w:rsidRPr="00FB3BD7" w:rsidRDefault="00644D56" w:rsidP="003D464F">
      <w:pPr>
        <w:spacing w:line="480" w:lineRule="exact"/>
        <w:jc w:val="center"/>
        <w:rPr>
          <w:rFonts w:ascii="方正小标宋_GBK" w:eastAsia="方正小标宋_GBK" w:hAnsi="方正小标宋简体" w:cs="方正小标宋简体"/>
          <w:bCs/>
          <w:sz w:val="36"/>
          <w:szCs w:val="36"/>
        </w:rPr>
      </w:pPr>
      <w:r w:rsidRPr="00FB3BD7">
        <w:rPr>
          <w:rFonts w:ascii="方正小标宋_GBK" w:eastAsia="方正小标宋_GBK" w:hAnsi="方正小标宋简体" w:cs="方正小标宋简体" w:hint="eastAsia"/>
          <w:bCs/>
          <w:sz w:val="36"/>
          <w:szCs w:val="36"/>
        </w:rPr>
        <w:t>“海天鼎厨杯”2022全国烹饪技能锦标赛</w:t>
      </w:r>
    </w:p>
    <w:p w14:paraId="4F542082" w14:textId="77777777" w:rsidR="003D464F" w:rsidRPr="00FB3BD7" w:rsidRDefault="003D464F" w:rsidP="003D464F">
      <w:pPr>
        <w:spacing w:line="480" w:lineRule="exact"/>
        <w:jc w:val="center"/>
        <w:rPr>
          <w:rFonts w:ascii="方正小标宋_GBK" w:eastAsia="方正小标宋_GBK" w:hAnsi="方正小标宋简体" w:cs="方正小标宋简体"/>
          <w:bCs/>
          <w:sz w:val="36"/>
          <w:szCs w:val="36"/>
        </w:rPr>
      </w:pPr>
      <w:r w:rsidRPr="00FB3BD7">
        <w:rPr>
          <w:rFonts w:ascii="方正小标宋_GBK" w:eastAsia="方正小标宋_GBK" w:hAnsi="方正小标宋简体" w:cs="方正小标宋简体" w:hint="eastAsia"/>
          <w:bCs/>
          <w:sz w:val="36"/>
          <w:szCs w:val="36"/>
        </w:rPr>
        <w:t>评判细则</w:t>
      </w:r>
    </w:p>
    <w:p w14:paraId="2B3E3384" w14:textId="77777777" w:rsidR="00FB3BD7" w:rsidRDefault="00FB3BD7" w:rsidP="003D464F">
      <w:pPr>
        <w:pStyle w:val="Ac"/>
        <w:framePr w:wrap="auto" w:yAlign="inline"/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9700300" w14:textId="40B40605" w:rsidR="003D464F" w:rsidRPr="00FB3BD7" w:rsidRDefault="00FB3BD7" w:rsidP="00FB3BD7">
      <w:pPr>
        <w:pStyle w:val="Ac"/>
        <w:framePr w:wrap="auto" w:yAlign="inline"/>
        <w:spacing w:line="44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</w:t>
      </w:r>
      <w:r w:rsidR="003D464F" w:rsidRPr="00FB3BD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一、赛项说明</w:t>
      </w:r>
    </w:p>
    <w:p w14:paraId="093006CC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1.选手自备参赛作品所使用原料、餐具器皿，餐盘以10-12英寸为宜。</w:t>
      </w:r>
    </w:p>
    <w:p w14:paraId="128173E3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2.作品需技法不同、风味各异。</w:t>
      </w:r>
    </w:p>
    <w:p w14:paraId="0B4792A6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3.每款参赛作品需份量一致（误差为±5克）。</w:t>
      </w:r>
    </w:p>
    <w:p w14:paraId="53D1B336" w14:textId="5557C8A1" w:rsidR="003D464F" w:rsidRPr="00FB3BD7" w:rsidRDefault="00FB3BD7" w:rsidP="00FB3BD7">
      <w:pPr>
        <w:pStyle w:val="Ac"/>
        <w:framePr w:wrap="auto" w:yAlign="inline"/>
        <w:spacing w:line="44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</w:t>
      </w:r>
      <w:r w:rsidR="003D464F" w:rsidRPr="00FB3BD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二、相关规定</w:t>
      </w:r>
    </w:p>
    <w:p w14:paraId="2ED4EE58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1.参赛作品用料严格实行“三不”原则，即不使用燕窝、干鲍、鱼翅等高档原料，不使用国家明令保护的动植物，不违规使用添加剂。</w:t>
      </w:r>
    </w:p>
    <w:p w14:paraId="39C863A3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2.自带食材需符合以下规定：</w:t>
      </w:r>
    </w:p>
    <w:p w14:paraId="57A32A7F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（1）蔬菜：可洗净，剥皮，不能切割，未经制熟；</w:t>
      </w:r>
    </w:p>
    <w:p w14:paraId="29A23283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（2）鱼类：可去除内脏和鳞片，但不可改刀；</w:t>
      </w:r>
    </w:p>
    <w:p w14:paraId="4E78A667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（3）贝类：可洗净，需连壳，未经制熟；</w:t>
      </w:r>
    </w:p>
    <w:p w14:paraId="05949CF5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（4）甲壳类：生鲜或煮熟，但不可剥开；</w:t>
      </w:r>
    </w:p>
    <w:p w14:paraId="315606D2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（5）鲜肉类或家禽肉：肉可去骨，但不可切割；骨头可以切割成小块；</w:t>
      </w:r>
    </w:p>
    <w:p w14:paraId="4C507962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（6）汤底：基本汤底，未经浓缩和调味，原味，未加配料和调味品；</w:t>
      </w:r>
    </w:p>
    <w:p w14:paraId="464D8F4D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（7）</w:t>
      </w:r>
      <w:r w:rsidRPr="00FB3BD7">
        <w:rPr>
          <w:rFonts w:ascii="仿宋_GB2312" w:eastAsia="仿宋_GB2312" w:hAnsi="仿宋_GB2312" w:cs="仿宋_GB2312" w:hint="eastAsia"/>
          <w:w w:val="95"/>
          <w:sz w:val="28"/>
          <w:szCs w:val="28"/>
        </w:rPr>
        <w:t>饼干、果干、调和蛋白可以带入,但面团不能带入；</w:t>
      </w:r>
    </w:p>
    <w:p w14:paraId="287F49A0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（8）果肉：可以带入果泥，但必须现场加工，不能直接用作酱汁；</w:t>
      </w:r>
    </w:p>
    <w:p w14:paraId="363851FF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（9）干货食材：可涨发好，但必须在比赛现场加调味及烹煮；</w:t>
      </w:r>
    </w:p>
    <w:p w14:paraId="29AE796E" w14:textId="5A8BCFE9" w:rsidR="003D464F" w:rsidRPr="00FB3BD7" w:rsidRDefault="00FB3BD7" w:rsidP="00FB3BD7">
      <w:pPr>
        <w:pStyle w:val="Ac"/>
        <w:framePr w:wrap="auto" w:yAlign="inline"/>
        <w:spacing w:line="44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</w:t>
      </w:r>
      <w:r w:rsidR="003D464F" w:rsidRPr="00FB3BD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三、评判内容</w:t>
      </w:r>
    </w:p>
    <w:p w14:paraId="257549FA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各赛项评判内容按准备工作、专业烹饪、作品呈现、口味质感四个方面进行评判。</w:t>
      </w:r>
    </w:p>
    <w:p w14:paraId="1FA3CD92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1.准备工作（10分）</w:t>
      </w:r>
    </w:p>
    <w:p w14:paraId="6A121408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 xml:space="preserve">（1）自带食材符合比赛规则； </w:t>
      </w:r>
    </w:p>
    <w:p w14:paraId="5297675F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 xml:space="preserve">（2）自带物品使用专用整理箱分类收纳； </w:t>
      </w:r>
    </w:p>
    <w:p w14:paraId="15659A01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（3）</w:t>
      </w:r>
      <w:r w:rsidRPr="00FB3BD7">
        <w:rPr>
          <w:rFonts w:ascii="仿宋_GB2312" w:eastAsia="仿宋_GB2312" w:hAnsi="仿宋_GB2312" w:cs="仿宋_GB2312" w:hint="eastAsia"/>
          <w:w w:val="97"/>
          <w:sz w:val="28"/>
          <w:szCs w:val="28"/>
        </w:rPr>
        <w:t>自带食材贮藏及运输温度符合国家食品安全规定；</w:t>
      </w:r>
    </w:p>
    <w:p w14:paraId="75D1E0D1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（4）所有须保鲜的食材均存放在冷柜或冰箱内；</w:t>
      </w:r>
    </w:p>
    <w:p w14:paraId="0FAAA492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（5）</w:t>
      </w:r>
      <w:r w:rsidRPr="00FB3BD7">
        <w:rPr>
          <w:rFonts w:ascii="仿宋_GB2312" w:eastAsia="仿宋_GB2312" w:hAnsi="仿宋_GB2312" w:cs="仿宋_GB2312" w:hint="eastAsia"/>
          <w:w w:val="97"/>
          <w:sz w:val="28"/>
          <w:szCs w:val="28"/>
        </w:rPr>
        <w:t>冰箱或冷柜中的食材有覆盖，不同食材相互独立；</w:t>
      </w:r>
    </w:p>
    <w:p w14:paraId="20782538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（6）操作工位物品摆放就位，分类合理、整洁有序；</w:t>
      </w:r>
    </w:p>
    <w:p w14:paraId="3C38A751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（7）身着干净、整洁的厨服（厨帽、厨衣、西裤、皮鞋），身上无任何配饰；</w:t>
      </w:r>
    </w:p>
    <w:p w14:paraId="64779D53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（8）完整的作品说明书；</w:t>
      </w:r>
    </w:p>
    <w:p w14:paraId="5BDB5D41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（9）提供可品尝的高汤的冷热样品；</w:t>
      </w:r>
    </w:p>
    <w:p w14:paraId="09957A3B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（10）没有提前加工行为。</w:t>
      </w:r>
    </w:p>
    <w:p w14:paraId="467EE753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2.专业烹饪（30分）</w:t>
      </w:r>
    </w:p>
    <w:p w14:paraId="0D7D3658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（1）食品安全部分</w:t>
      </w:r>
    </w:p>
    <w:p w14:paraId="179A839F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①开始加工之前和操作过程中按照专业要求洗手；</w:t>
      </w:r>
    </w:p>
    <w:p w14:paraId="1DB82056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②原材料加工过程，使用的设备、器皿符合食品安全操作规范；</w:t>
      </w:r>
    </w:p>
    <w:p w14:paraId="3BBD5836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③正确使用和更换手套；</w:t>
      </w:r>
    </w:p>
    <w:p w14:paraId="69EDE8B4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④</w:t>
      </w:r>
      <w:r w:rsidRPr="00FB3BD7">
        <w:rPr>
          <w:rFonts w:ascii="仿宋_GB2312" w:eastAsia="仿宋_GB2312" w:hAnsi="仿宋_GB2312" w:cs="仿宋_GB2312" w:hint="eastAsia"/>
          <w:w w:val="98"/>
          <w:sz w:val="28"/>
          <w:szCs w:val="28"/>
        </w:rPr>
        <w:t>及时清洁工作台和厨房设备、用具，专业更换砧板；</w:t>
      </w:r>
    </w:p>
    <w:p w14:paraId="67054078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⑤对温度敏感的食材加工后及时存放回冰箱内，无长时间裸露现象；</w:t>
      </w:r>
    </w:p>
    <w:p w14:paraId="4F8717D4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⑥加工过程中，以及品尝食物时无交叉感染行为；</w:t>
      </w:r>
    </w:p>
    <w:p w14:paraId="0CAA10DC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⑦主辅料加工过程符合餐饮服务食品安全操作规范；</w:t>
      </w:r>
    </w:p>
    <w:p w14:paraId="73559086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⑧正确使用厨房用纸，及时更换脏围裙和毛巾。</w:t>
      </w:r>
    </w:p>
    <w:p w14:paraId="34966542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（2）技能/技艺部分</w:t>
      </w:r>
    </w:p>
    <w:p w14:paraId="08B76321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①加工时正确、安全、专业使用工具、设备、盛放容器；</w:t>
      </w:r>
    </w:p>
    <w:p w14:paraId="7E62ADC5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②熟悉原料特性，充分利用，无浪费现象；</w:t>
      </w:r>
    </w:p>
    <w:p w14:paraId="2AB15508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③操作过程中食材、半成品及时冷藏存储；</w:t>
      </w:r>
    </w:p>
    <w:p w14:paraId="7017CE1F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④加工、烹调过程规范有序，动作协调适当，体现传统或现代技法；</w:t>
      </w:r>
    </w:p>
    <w:p w14:paraId="5C4B80A2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⑤不同操作使用恰当的工具和设备（如刀具、锅等）；</w:t>
      </w:r>
    </w:p>
    <w:p w14:paraId="5792ACFA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⑥加工过程中对鱼、肉、海鲜、家禽等主食材的处理恰当；</w:t>
      </w:r>
    </w:p>
    <w:p w14:paraId="3102E2C4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⑦合理利用骨头和边角料将汤底做成调味汁；</w:t>
      </w:r>
    </w:p>
    <w:p w14:paraId="56C23AEA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⑧加工过程中对蔬菜、沙拉和香料的处理恰当；</w:t>
      </w:r>
    </w:p>
    <w:p w14:paraId="745B084F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⑨剩余食材及时包好后保存在冰箱或冰柜中，并标注日期。</w:t>
      </w:r>
    </w:p>
    <w:p w14:paraId="635AAEB7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（3）厨房管理部分</w:t>
      </w:r>
    </w:p>
    <w:p w14:paraId="28ED919A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①合理分配工作内容、时间；</w:t>
      </w:r>
    </w:p>
    <w:p w14:paraId="3CF782BC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②加工过程中垃圾及时处理，废弃物处理妥当；</w:t>
      </w:r>
    </w:p>
    <w:p w14:paraId="7E5F2C34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③加工过程工作台、操作位整洁有序，无杂、乱、差现象；</w:t>
      </w:r>
    </w:p>
    <w:p w14:paraId="242FB2CA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④合理使用水、电、气，无能源消耗浪费；</w:t>
      </w:r>
    </w:p>
    <w:p w14:paraId="54EAB870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⑤在规定的时间内完成供餐准备；</w:t>
      </w:r>
    </w:p>
    <w:p w14:paraId="4BB27E59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⑥上餐结束后，及时进行厨房清洁，操作位公用设备、设施及用具清洗干净。</w:t>
      </w:r>
    </w:p>
    <w:p w14:paraId="19A5F81F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3.作品呈现（10分）</w:t>
      </w:r>
    </w:p>
    <w:p w14:paraId="0F2C844C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（1）摆盘实用（不允许使用盘中盘），装饰或点缀物可食用，便于服务人员传送；</w:t>
      </w:r>
    </w:p>
    <w:p w14:paraId="39DC1294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（2）作品造型、规格、份量一致；</w:t>
      </w:r>
    </w:p>
    <w:p w14:paraId="4AC18FBB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（3）符合规定的份量大小；</w:t>
      </w:r>
    </w:p>
    <w:p w14:paraId="7EB3DC36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（4）主料和配料搭配比例协调、平衡，主题突出；</w:t>
      </w:r>
    </w:p>
    <w:p w14:paraId="5513F74E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（5）菜肴在餐具中的构图比例、布局关系和谐；</w:t>
      </w:r>
    </w:p>
    <w:p w14:paraId="7A03568E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（6）菜肴色泽明亮，色彩鲜明，各种色彩搭配和谐；</w:t>
      </w:r>
    </w:p>
    <w:p w14:paraId="6D1C8303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（7）具有现代艺术观赏性，富有食欲和视觉冲击力；</w:t>
      </w:r>
    </w:p>
    <w:p w14:paraId="79DB0CFD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（8）菜肴具有地域文化、烹饪技艺特征。</w:t>
      </w:r>
    </w:p>
    <w:p w14:paraId="638E2C56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4.口味质感</w:t>
      </w:r>
      <w:r w:rsidRPr="00FB3BD7">
        <w:rPr>
          <w:rFonts w:ascii="仿宋_GB2312" w:eastAsia="仿宋_GB2312" w:hAnsi="仿宋_GB2312" w:cs="仿宋_GB2312" w:hint="eastAsia"/>
          <w:sz w:val="28"/>
          <w:szCs w:val="28"/>
        </w:rPr>
        <w:tab/>
        <w:t>（50分）</w:t>
      </w:r>
    </w:p>
    <w:p w14:paraId="6047C4C5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（1）口味质感与作品说明书说明一致；</w:t>
      </w:r>
    </w:p>
    <w:p w14:paraId="3C549820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（2）色、香、味统一、协调；</w:t>
      </w:r>
    </w:p>
    <w:p w14:paraId="145CE64F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（3）调味适当，主味突出，风味特别，富有层次感；</w:t>
      </w:r>
    </w:p>
    <w:p w14:paraId="4AFC20A4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（4）</w:t>
      </w:r>
      <w:r w:rsidRPr="00FB3BD7">
        <w:rPr>
          <w:rFonts w:ascii="仿宋_GB2312" w:eastAsia="仿宋_GB2312" w:hAnsi="仿宋_GB2312" w:cs="仿宋_GB2312" w:hint="eastAsia"/>
          <w:w w:val="93"/>
          <w:sz w:val="28"/>
          <w:szCs w:val="28"/>
        </w:rPr>
        <w:t>火候得当，无焦煳、腥膻等异味，或过生不能食用；</w:t>
      </w:r>
    </w:p>
    <w:p w14:paraId="457D1968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（5）食材质感鲜明，符合应有的口感特点；</w:t>
      </w:r>
    </w:p>
    <w:p w14:paraId="6B447ED9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（6）主辅料搭配营养均衡。</w:t>
      </w:r>
    </w:p>
    <w:p w14:paraId="3DC34364" w14:textId="763B4325" w:rsidR="003D464F" w:rsidRPr="00FB3BD7" w:rsidRDefault="00FB3BD7" w:rsidP="00FB3BD7">
      <w:pPr>
        <w:pStyle w:val="Ac"/>
        <w:framePr w:wrap="auto" w:yAlign="inline"/>
        <w:spacing w:line="44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</w:t>
      </w:r>
      <w:r w:rsidR="003D464F" w:rsidRPr="00FB3BD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四、计分方法</w:t>
      </w:r>
    </w:p>
    <w:p w14:paraId="06FD3736" w14:textId="77777777" w:rsidR="003D464F" w:rsidRPr="00FB3BD7" w:rsidRDefault="003D464F" w:rsidP="00FB3BD7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B3BD7">
        <w:rPr>
          <w:rFonts w:ascii="仿宋_GB2312" w:eastAsia="仿宋_GB2312" w:hAnsi="仿宋_GB2312" w:cs="仿宋_GB2312" w:hint="eastAsia"/>
          <w:sz w:val="28"/>
          <w:szCs w:val="28"/>
        </w:rPr>
        <w:t>参赛选手成绩为创意热菜作品成绩与地域特色菜作品成绩之和（分别按80%、20%的比例计算），其中创意热菜作品成绩为2款作品得分总和的平均分。</w:t>
      </w:r>
    </w:p>
    <w:sectPr w:rsidR="003D464F" w:rsidRPr="00FB3BD7" w:rsidSect="00FB3BD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8CE7B" w14:textId="77777777" w:rsidR="00564A89" w:rsidRDefault="00564A89" w:rsidP="00FB3BD7">
      <w:r>
        <w:separator/>
      </w:r>
    </w:p>
  </w:endnote>
  <w:endnote w:type="continuationSeparator" w:id="0">
    <w:p w14:paraId="5D32A223" w14:textId="77777777" w:rsidR="00564A89" w:rsidRDefault="00564A89" w:rsidP="00FB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仿宋_GB2312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268C" w14:textId="77777777" w:rsidR="00FB3BD7" w:rsidRDefault="00FB3BD7" w:rsidP="00942A69">
    <w:pPr>
      <w:pStyle w:val="af"/>
      <w:framePr w:wrap="none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0A6F5B0" w14:textId="77777777" w:rsidR="00FB3BD7" w:rsidRDefault="00FB3BD7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42D0" w14:textId="77777777" w:rsidR="00FB3BD7" w:rsidRPr="00FB3BD7" w:rsidRDefault="00FB3BD7" w:rsidP="00942A69">
    <w:pPr>
      <w:pStyle w:val="af"/>
      <w:framePr w:wrap="none" w:vAnchor="text" w:hAnchor="margin" w:xAlign="center" w:y="1"/>
      <w:rPr>
        <w:rStyle w:val="af1"/>
        <w:sz w:val="28"/>
        <w:szCs w:val="28"/>
      </w:rPr>
    </w:pPr>
    <w:r w:rsidRPr="00FB3BD7">
      <w:rPr>
        <w:rStyle w:val="af1"/>
        <w:sz w:val="28"/>
        <w:szCs w:val="28"/>
      </w:rPr>
      <w:fldChar w:fldCharType="begin"/>
    </w:r>
    <w:r w:rsidRPr="00FB3BD7">
      <w:rPr>
        <w:rStyle w:val="af1"/>
        <w:sz w:val="28"/>
        <w:szCs w:val="28"/>
      </w:rPr>
      <w:instrText xml:space="preserve">PAGE  </w:instrText>
    </w:r>
    <w:r w:rsidRPr="00FB3BD7">
      <w:rPr>
        <w:rStyle w:val="af1"/>
        <w:sz w:val="28"/>
        <w:szCs w:val="28"/>
      </w:rPr>
      <w:fldChar w:fldCharType="separate"/>
    </w:r>
    <w:r w:rsidR="00BC1C1B">
      <w:rPr>
        <w:rStyle w:val="af1"/>
        <w:noProof/>
        <w:sz w:val="28"/>
        <w:szCs w:val="28"/>
      </w:rPr>
      <w:t>- 4 -</w:t>
    </w:r>
    <w:r w:rsidRPr="00FB3BD7">
      <w:rPr>
        <w:rStyle w:val="af1"/>
        <w:sz w:val="28"/>
        <w:szCs w:val="28"/>
      </w:rPr>
      <w:fldChar w:fldCharType="end"/>
    </w:r>
  </w:p>
  <w:p w14:paraId="4F28EFA4" w14:textId="77777777" w:rsidR="00FB3BD7" w:rsidRDefault="00FB3BD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88EB" w14:textId="77777777" w:rsidR="00564A89" w:rsidRDefault="00564A89" w:rsidP="00FB3BD7">
      <w:r>
        <w:separator/>
      </w:r>
    </w:p>
  </w:footnote>
  <w:footnote w:type="continuationSeparator" w:id="0">
    <w:p w14:paraId="6D33587C" w14:textId="77777777" w:rsidR="00564A89" w:rsidRDefault="00564A89" w:rsidP="00FB3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FC"/>
    <w:rsid w:val="000D2AB6"/>
    <w:rsid w:val="000E181C"/>
    <w:rsid w:val="0020175C"/>
    <w:rsid w:val="002D5A9C"/>
    <w:rsid w:val="002E01C5"/>
    <w:rsid w:val="002F45B1"/>
    <w:rsid w:val="00327238"/>
    <w:rsid w:val="003C770B"/>
    <w:rsid w:val="003D464F"/>
    <w:rsid w:val="004246B0"/>
    <w:rsid w:val="004C255F"/>
    <w:rsid w:val="004F42F8"/>
    <w:rsid w:val="00541CC9"/>
    <w:rsid w:val="00564A89"/>
    <w:rsid w:val="00644D56"/>
    <w:rsid w:val="0068713D"/>
    <w:rsid w:val="006C22A8"/>
    <w:rsid w:val="00706375"/>
    <w:rsid w:val="00785068"/>
    <w:rsid w:val="007C07D3"/>
    <w:rsid w:val="009273A0"/>
    <w:rsid w:val="009E06AC"/>
    <w:rsid w:val="00A559EC"/>
    <w:rsid w:val="00A95AAD"/>
    <w:rsid w:val="00AA1DA8"/>
    <w:rsid w:val="00B32275"/>
    <w:rsid w:val="00BC1C1B"/>
    <w:rsid w:val="00C51AFC"/>
    <w:rsid w:val="00CC5757"/>
    <w:rsid w:val="00E02E9D"/>
    <w:rsid w:val="00EC7F47"/>
    <w:rsid w:val="00ED2B35"/>
    <w:rsid w:val="00F25BAB"/>
    <w:rsid w:val="00FB3BD7"/>
    <w:rsid w:val="00FC39B4"/>
    <w:rsid w:val="00FC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BB0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next w:val="a"/>
    <w:link w:val="60"/>
    <w:uiPriority w:val="99"/>
    <w:qFormat/>
    <w:rsid w:val="0068713D"/>
    <w:pPr>
      <w:keepNext/>
      <w:keepLines/>
      <w:spacing w:before="240" w:after="64" w:line="320" w:lineRule="auto"/>
      <w:outlineLvl w:val="5"/>
    </w:pPr>
    <w:rPr>
      <w:rFonts w:ascii="等线 Light" w:eastAsia="等线 Light" w:hAnsi="等线 Light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F4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C7F47"/>
    <w:rPr>
      <w:sz w:val="18"/>
      <w:szCs w:val="18"/>
    </w:rPr>
  </w:style>
  <w:style w:type="paragraph" w:styleId="a5">
    <w:name w:val="Normal (Web)"/>
    <w:basedOn w:val="a"/>
    <w:uiPriority w:val="99"/>
    <w:qFormat/>
    <w:rsid w:val="00EC7F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uiPriority w:val="99"/>
    <w:qFormat/>
    <w:rsid w:val="00EC7F47"/>
    <w:rPr>
      <w:rFonts w:cs="Times New Roman"/>
      <w:b/>
      <w:bCs/>
    </w:rPr>
  </w:style>
  <w:style w:type="character" w:customStyle="1" w:styleId="60">
    <w:name w:val="标题 6 字符"/>
    <w:basedOn w:val="a0"/>
    <w:link w:val="6"/>
    <w:uiPriority w:val="99"/>
    <w:rsid w:val="0068713D"/>
    <w:rPr>
      <w:rFonts w:ascii="等线 Light" w:eastAsia="等线 Light" w:hAnsi="等线 Light" w:cs="Times New Roman"/>
      <w:b/>
      <w:bCs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41CC9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541CC9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541CC9"/>
  </w:style>
  <w:style w:type="paragraph" w:styleId="aa">
    <w:name w:val="annotation subject"/>
    <w:basedOn w:val="a8"/>
    <w:next w:val="a8"/>
    <w:link w:val="ab"/>
    <w:uiPriority w:val="99"/>
    <w:semiHidden/>
    <w:unhideWhenUsed/>
    <w:rsid w:val="00541CC9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541CC9"/>
    <w:rPr>
      <w:b/>
      <w:bCs/>
    </w:rPr>
  </w:style>
  <w:style w:type="paragraph" w:customStyle="1" w:styleId="Ac">
    <w:name w:val="正文 A"/>
    <w:qFormat/>
    <w:rsid w:val="00327238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styleId="ad">
    <w:name w:val="Date"/>
    <w:basedOn w:val="a"/>
    <w:next w:val="a"/>
    <w:link w:val="ae"/>
    <w:uiPriority w:val="99"/>
    <w:semiHidden/>
    <w:unhideWhenUsed/>
    <w:rsid w:val="003D464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3D464F"/>
  </w:style>
  <w:style w:type="paragraph" w:styleId="af">
    <w:name w:val="footer"/>
    <w:basedOn w:val="a"/>
    <w:link w:val="af0"/>
    <w:uiPriority w:val="99"/>
    <w:unhideWhenUsed/>
    <w:rsid w:val="00FB3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FB3BD7"/>
    <w:rPr>
      <w:sz w:val="18"/>
      <w:szCs w:val="18"/>
    </w:rPr>
  </w:style>
  <w:style w:type="character" w:styleId="af1">
    <w:name w:val="page number"/>
    <w:basedOn w:val="a0"/>
    <w:uiPriority w:val="99"/>
    <w:semiHidden/>
    <w:unhideWhenUsed/>
    <w:rsid w:val="00FB3BD7"/>
  </w:style>
  <w:style w:type="paragraph" w:styleId="af2">
    <w:name w:val="header"/>
    <w:basedOn w:val="a"/>
    <w:link w:val="af3"/>
    <w:uiPriority w:val="99"/>
    <w:unhideWhenUsed/>
    <w:rsid w:val="00FB3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uiPriority w:val="99"/>
    <w:rsid w:val="00FB3B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90785-EBD7-6949-9480-60A4C9E7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dai dai</cp:lastModifiedBy>
  <cp:revision>2</cp:revision>
  <cp:lastPrinted>2022-04-27T09:37:00Z</cp:lastPrinted>
  <dcterms:created xsi:type="dcterms:W3CDTF">2022-04-28T10:31:00Z</dcterms:created>
  <dcterms:modified xsi:type="dcterms:W3CDTF">2022-04-28T10:31:00Z</dcterms:modified>
</cp:coreProperties>
</file>