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CB0" w:rsidRDefault="0097435B">
      <w:pPr>
        <w:spacing w:line="5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附件1：</w:t>
      </w:r>
    </w:p>
    <w:p w:rsidR="00343CB0" w:rsidRDefault="0097435B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Cs/>
          <w:kern w:val="2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kern w:val="2"/>
          <w:sz w:val="36"/>
          <w:szCs w:val="36"/>
        </w:rPr>
        <w:t>第六届全国名厨烹饪邀请赛</w:t>
      </w:r>
    </w:p>
    <w:p w:rsidR="00343CB0" w:rsidRDefault="0097435B">
      <w:pPr>
        <w:spacing w:line="500" w:lineRule="exact"/>
        <w:jc w:val="center"/>
        <w:rPr>
          <w:b/>
          <w:kern w:val="10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bCs/>
          <w:kern w:val="2"/>
          <w:sz w:val="36"/>
          <w:szCs w:val="36"/>
        </w:rPr>
        <w:t>评判细则</w:t>
      </w:r>
    </w:p>
    <w:p w:rsidR="00343CB0" w:rsidRDefault="0097435B">
      <w:pPr>
        <w:pStyle w:val="ac"/>
        <w:spacing w:after="0" w:line="500" w:lineRule="exact"/>
        <w:ind w:firstLineChars="200" w:firstLine="562"/>
        <w:rPr>
          <w:rFonts w:eastAsia="仿宋_GB2312" w:cs="仿宋_GB2312"/>
          <w:b/>
          <w:kern w:val="10"/>
          <w:sz w:val="28"/>
          <w:szCs w:val="28"/>
        </w:rPr>
      </w:pPr>
      <w:r>
        <w:rPr>
          <w:rFonts w:eastAsia="仿宋_GB2312" w:cs="仿宋_GB2312" w:hint="eastAsia"/>
          <w:b/>
          <w:kern w:val="10"/>
          <w:sz w:val="28"/>
          <w:szCs w:val="28"/>
        </w:rPr>
        <w:t>一、比赛说明</w:t>
      </w:r>
    </w:p>
    <w:p w:rsidR="00343CB0" w:rsidRDefault="0097435B">
      <w:pPr>
        <w:pStyle w:val="ac"/>
        <w:spacing w:after="0" w:line="500" w:lineRule="exact"/>
        <w:ind w:firstLineChars="150"/>
        <w:rPr>
          <w:rFonts w:eastAsia="仿宋_GB2312" w:cs="仿宋_GB2312"/>
          <w:kern w:val="10"/>
          <w:sz w:val="28"/>
          <w:szCs w:val="28"/>
        </w:rPr>
      </w:pPr>
      <w:r>
        <w:rPr>
          <w:rFonts w:eastAsia="仿宋_GB2312" w:cs="仿宋_GB2312" w:hint="eastAsia"/>
          <w:kern w:val="10"/>
          <w:sz w:val="28"/>
          <w:szCs w:val="28"/>
        </w:rPr>
        <w:t>（一）选手自备比赛食材（含主料、辅料），原料严格实行“三不”原则，即不使用燕窝、干鲍、鱼翅等高档原料，不使用国家明令禁止或保护的动植物，不违规使用添加剂。组委会提</w:t>
      </w:r>
      <w:r>
        <w:rPr>
          <w:rFonts w:eastAsia="仿宋_GB2312" w:cs="仿宋_GB2312" w:hint="eastAsia"/>
          <w:kern w:val="10"/>
          <w:sz w:val="28"/>
          <w:szCs w:val="28"/>
          <w:lang w:val="en-US"/>
        </w:rPr>
        <w:t>供</w:t>
      </w:r>
      <w:r>
        <w:rPr>
          <w:rFonts w:eastAsia="仿宋_GB2312" w:cs="仿宋_GB2312" w:hint="eastAsia"/>
          <w:kern w:val="10"/>
          <w:sz w:val="28"/>
          <w:szCs w:val="28"/>
        </w:rPr>
        <w:t>基础性调味</w:t>
      </w:r>
      <w:r>
        <w:rPr>
          <w:rFonts w:eastAsia="仿宋_GB2312" w:cs="仿宋_GB2312" w:hint="eastAsia"/>
          <w:sz w:val="28"/>
          <w:szCs w:val="28"/>
        </w:rPr>
        <w:t>品：色拉油、酱油、醋、盐、白糖、胡椒粉、淀粉、面粉、鸡粉等调料</w:t>
      </w:r>
      <w:r>
        <w:rPr>
          <w:rFonts w:eastAsia="仿宋_GB2312" w:cs="仿宋_GB2312" w:hint="eastAsia"/>
          <w:kern w:val="10"/>
          <w:sz w:val="28"/>
          <w:szCs w:val="28"/>
        </w:rPr>
        <w:t>，其它调味料由选手自备。自备原料需符合以下规定：</w:t>
      </w:r>
    </w:p>
    <w:p w:rsidR="00343CB0" w:rsidRDefault="0097435B">
      <w:pPr>
        <w:spacing w:line="500" w:lineRule="exact"/>
        <w:ind w:firstLineChars="200" w:firstLine="560"/>
        <w:rPr>
          <w:kern w:val="10"/>
          <w:sz w:val="28"/>
          <w:szCs w:val="28"/>
        </w:rPr>
      </w:pPr>
      <w:r>
        <w:rPr>
          <w:rFonts w:hint="eastAsia"/>
          <w:kern w:val="10"/>
          <w:sz w:val="28"/>
          <w:szCs w:val="28"/>
        </w:rPr>
        <w:t>蔬菜：可洗净，剥皮，不能切割，未经制熟；</w:t>
      </w:r>
    </w:p>
    <w:p w:rsidR="00343CB0" w:rsidRDefault="0097435B">
      <w:pPr>
        <w:spacing w:line="500" w:lineRule="exact"/>
        <w:ind w:firstLineChars="200" w:firstLine="560"/>
        <w:rPr>
          <w:kern w:val="10"/>
          <w:sz w:val="28"/>
          <w:szCs w:val="28"/>
        </w:rPr>
      </w:pPr>
      <w:r>
        <w:rPr>
          <w:rFonts w:hint="eastAsia"/>
          <w:kern w:val="10"/>
          <w:sz w:val="28"/>
          <w:szCs w:val="28"/>
        </w:rPr>
        <w:t>鱼类：可去除内脏和鳞片，但不可改刀；</w:t>
      </w:r>
    </w:p>
    <w:p w:rsidR="00343CB0" w:rsidRDefault="0097435B">
      <w:pPr>
        <w:spacing w:line="500" w:lineRule="exact"/>
        <w:ind w:firstLineChars="200" w:firstLine="560"/>
        <w:rPr>
          <w:kern w:val="10"/>
          <w:sz w:val="28"/>
          <w:szCs w:val="28"/>
        </w:rPr>
      </w:pPr>
      <w:r>
        <w:rPr>
          <w:rFonts w:hint="eastAsia"/>
          <w:kern w:val="10"/>
          <w:sz w:val="28"/>
          <w:szCs w:val="28"/>
        </w:rPr>
        <w:t>贝类：可洗净，需连壳，未经制熟；</w:t>
      </w:r>
    </w:p>
    <w:p w:rsidR="00343CB0" w:rsidRDefault="0097435B">
      <w:pPr>
        <w:spacing w:line="500" w:lineRule="exact"/>
        <w:ind w:firstLineChars="200" w:firstLine="560"/>
        <w:rPr>
          <w:kern w:val="10"/>
          <w:sz w:val="28"/>
          <w:szCs w:val="28"/>
        </w:rPr>
      </w:pPr>
      <w:r>
        <w:rPr>
          <w:rFonts w:hint="eastAsia"/>
          <w:kern w:val="10"/>
          <w:sz w:val="28"/>
          <w:szCs w:val="28"/>
        </w:rPr>
        <w:t>甲壳类：生鲜或煮熟，但不可剥开；</w:t>
      </w:r>
    </w:p>
    <w:p w:rsidR="00343CB0" w:rsidRDefault="0097435B">
      <w:pPr>
        <w:spacing w:line="500" w:lineRule="exact"/>
        <w:ind w:firstLineChars="200" w:firstLine="560"/>
        <w:rPr>
          <w:kern w:val="10"/>
          <w:sz w:val="28"/>
          <w:szCs w:val="28"/>
        </w:rPr>
      </w:pPr>
      <w:r>
        <w:rPr>
          <w:rFonts w:hint="eastAsia"/>
          <w:kern w:val="10"/>
          <w:sz w:val="28"/>
          <w:szCs w:val="28"/>
        </w:rPr>
        <w:t>鲜肉或家禽肉类：肉可去骨，但不可切割；骨头可以切割成小块；</w:t>
      </w:r>
    </w:p>
    <w:p w:rsidR="00343CB0" w:rsidRDefault="0097435B">
      <w:pPr>
        <w:spacing w:line="500" w:lineRule="exact"/>
        <w:ind w:firstLineChars="200" w:firstLine="560"/>
        <w:rPr>
          <w:kern w:val="10"/>
          <w:sz w:val="28"/>
          <w:szCs w:val="28"/>
        </w:rPr>
      </w:pPr>
      <w:r>
        <w:rPr>
          <w:rFonts w:hint="eastAsia"/>
          <w:kern w:val="10"/>
          <w:sz w:val="28"/>
          <w:szCs w:val="28"/>
        </w:rPr>
        <w:t>汤底：基本汤底，未经浓缩和调味，原味，未加配料和调味剂；</w:t>
      </w:r>
    </w:p>
    <w:p w:rsidR="00343CB0" w:rsidRDefault="0097435B">
      <w:pPr>
        <w:spacing w:line="500" w:lineRule="exact"/>
        <w:ind w:firstLineChars="200" w:firstLine="560"/>
        <w:rPr>
          <w:kern w:val="10"/>
          <w:sz w:val="28"/>
          <w:szCs w:val="28"/>
        </w:rPr>
      </w:pPr>
      <w:r>
        <w:rPr>
          <w:rFonts w:hint="eastAsia"/>
          <w:kern w:val="10"/>
          <w:sz w:val="28"/>
          <w:szCs w:val="28"/>
        </w:rPr>
        <w:t>干货食材：可涨发好，但必须在比赛现场调味及烹制。</w:t>
      </w:r>
    </w:p>
    <w:p w:rsidR="00343CB0" w:rsidRDefault="0097435B">
      <w:pPr>
        <w:spacing w:line="500" w:lineRule="exact"/>
        <w:ind w:firstLineChars="200" w:firstLine="560"/>
        <w:rPr>
          <w:kern w:val="10"/>
          <w:sz w:val="28"/>
          <w:szCs w:val="28"/>
        </w:rPr>
      </w:pPr>
      <w:r>
        <w:rPr>
          <w:rFonts w:hint="eastAsia"/>
          <w:kern w:val="10"/>
          <w:sz w:val="28"/>
          <w:szCs w:val="28"/>
        </w:rPr>
        <w:t>（二）赛场水电配套齐全，提供燃气灶具、炒锅、手勺、漏勺、砧板（菜墩）、料碗（马斗）、尝碟等基础烹饪用具。盛器（背面底部写名字，赛后领取）及特殊器具等用具由选手自备。</w:t>
      </w:r>
    </w:p>
    <w:p w:rsidR="00343CB0" w:rsidRDefault="0097435B">
      <w:pPr>
        <w:spacing w:line="500" w:lineRule="exact"/>
        <w:ind w:firstLineChars="200" w:firstLine="560"/>
        <w:rPr>
          <w:kern w:val="10"/>
          <w:sz w:val="28"/>
          <w:szCs w:val="28"/>
        </w:rPr>
      </w:pPr>
      <w:r>
        <w:rPr>
          <w:rFonts w:hint="eastAsia"/>
          <w:kern w:val="10"/>
          <w:sz w:val="28"/>
          <w:szCs w:val="28"/>
        </w:rPr>
        <w:t>（三）操作全过程佩戴口罩、手套，做好消毒卫生，严格遵守国家防疫安排。</w:t>
      </w:r>
    </w:p>
    <w:p w:rsidR="00343CB0" w:rsidRDefault="0097435B">
      <w:pPr>
        <w:pStyle w:val="ac"/>
        <w:spacing w:after="0" w:line="500" w:lineRule="exact"/>
        <w:ind w:firstLineChars="200" w:firstLine="562"/>
        <w:rPr>
          <w:rFonts w:eastAsia="仿宋_GB2312" w:cs="仿宋_GB2312"/>
          <w:b/>
          <w:kern w:val="10"/>
          <w:sz w:val="28"/>
          <w:szCs w:val="28"/>
        </w:rPr>
      </w:pPr>
      <w:r>
        <w:rPr>
          <w:rFonts w:eastAsia="仿宋_GB2312" w:cs="仿宋_GB2312" w:hint="eastAsia"/>
          <w:b/>
          <w:kern w:val="10"/>
          <w:sz w:val="28"/>
          <w:szCs w:val="28"/>
        </w:rPr>
        <w:t>二、评判标准</w:t>
      </w:r>
    </w:p>
    <w:p w:rsidR="00343CB0" w:rsidRDefault="0097435B">
      <w:pPr>
        <w:spacing w:line="500" w:lineRule="exact"/>
        <w:ind w:firstLineChars="200" w:firstLine="560"/>
        <w:rPr>
          <w:kern w:val="10"/>
          <w:sz w:val="28"/>
          <w:szCs w:val="28"/>
        </w:rPr>
      </w:pPr>
      <w:r>
        <w:rPr>
          <w:rFonts w:hint="eastAsia"/>
          <w:kern w:val="10"/>
          <w:sz w:val="28"/>
          <w:szCs w:val="28"/>
        </w:rPr>
        <w:t>各比赛项目按赛前准备、专业加工、作品呈现、口味质感、卫生节约五方面进行评判，满分为100分。</w:t>
      </w:r>
    </w:p>
    <w:p w:rsidR="00343CB0" w:rsidRDefault="0097435B">
      <w:pPr>
        <w:pStyle w:val="ac"/>
        <w:spacing w:after="0" w:line="500" w:lineRule="exact"/>
        <w:ind w:firstLineChars="200" w:firstLine="562"/>
        <w:rPr>
          <w:rFonts w:eastAsia="仿宋_GB2312" w:cs="仿宋_GB2312"/>
          <w:b/>
          <w:kern w:val="10"/>
          <w:sz w:val="28"/>
          <w:szCs w:val="28"/>
        </w:rPr>
      </w:pPr>
      <w:r>
        <w:rPr>
          <w:rFonts w:eastAsia="仿宋_GB2312" w:cs="仿宋_GB2312" w:hint="eastAsia"/>
          <w:b/>
          <w:kern w:val="10"/>
          <w:sz w:val="28"/>
          <w:szCs w:val="28"/>
        </w:rPr>
        <w:t>（一）赛前准备（10分）</w:t>
      </w:r>
    </w:p>
    <w:p w:rsidR="00343CB0" w:rsidRDefault="0097435B">
      <w:pPr>
        <w:spacing w:line="500" w:lineRule="exact"/>
        <w:ind w:firstLineChars="200" w:firstLine="560"/>
        <w:rPr>
          <w:kern w:val="10"/>
          <w:sz w:val="28"/>
          <w:szCs w:val="28"/>
        </w:rPr>
      </w:pPr>
      <w:r>
        <w:rPr>
          <w:rFonts w:hint="eastAsia"/>
          <w:kern w:val="10"/>
          <w:sz w:val="28"/>
          <w:szCs w:val="28"/>
        </w:rPr>
        <w:lastRenderedPageBreak/>
        <w:t>自带食材符合比赛规则；主料按净量要求带入比赛现场，不可多带；自带物品用专用整理箱分类收纳；自带食材的贮藏及运输温度符合国家食品安全规定；操作工位物品摆放就位、分类合理、整洁有序；身着干净、整洁的厨服（厨帽、厨衣），身上无任何配饰；提前加工进行过申请，现场完成主要加工过程及最终成熟、成型。</w:t>
      </w:r>
    </w:p>
    <w:p w:rsidR="00343CB0" w:rsidRDefault="0097435B">
      <w:pPr>
        <w:spacing w:line="500" w:lineRule="exact"/>
        <w:ind w:firstLineChars="200" w:firstLine="562"/>
        <w:rPr>
          <w:b/>
          <w:bCs/>
          <w:kern w:val="10"/>
          <w:sz w:val="28"/>
          <w:szCs w:val="28"/>
        </w:rPr>
      </w:pPr>
      <w:r>
        <w:rPr>
          <w:rFonts w:hint="eastAsia"/>
          <w:b/>
          <w:bCs/>
          <w:kern w:val="10"/>
          <w:sz w:val="28"/>
          <w:szCs w:val="28"/>
        </w:rPr>
        <w:t>（二）专业加工（20分）</w:t>
      </w:r>
    </w:p>
    <w:p w:rsidR="00343CB0" w:rsidRDefault="0097435B">
      <w:pPr>
        <w:spacing w:line="500" w:lineRule="exact"/>
        <w:ind w:firstLineChars="200" w:firstLine="560"/>
        <w:rPr>
          <w:kern w:val="10"/>
          <w:sz w:val="28"/>
          <w:szCs w:val="28"/>
        </w:rPr>
      </w:pPr>
      <w:r>
        <w:rPr>
          <w:rFonts w:hint="eastAsia"/>
          <w:kern w:val="10"/>
          <w:sz w:val="28"/>
          <w:szCs w:val="28"/>
        </w:rPr>
        <w:t>主辅料加工过程符合餐饮服务食品安全操作规范；加工时正确、安全、专业使用工具、设备、盛放容器；加工前及加工过程中及时洗手、保持个人卫生，确保符合国家食品安全规定；操作过程中食材、半成品及时冷藏存储；加工、烹调过程规范有序，动作协调适当，体现传统或现代技法；合理分配工作内容、时间；操作工位整洁有序，公用设备设施及时清洗干净，废弃物处理妥当。</w:t>
      </w:r>
    </w:p>
    <w:p w:rsidR="00343CB0" w:rsidRDefault="0097435B">
      <w:pPr>
        <w:spacing w:line="500" w:lineRule="exact"/>
        <w:ind w:firstLineChars="200" w:firstLine="562"/>
        <w:rPr>
          <w:b/>
          <w:bCs/>
          <w:kern w:val="10"/>
          <w:sz w:val="28"/>
          <w:szCs w:val="28"/>
        </w:rPr>
      </w:pPr>
      <w:r>
        <w:rPr>
          <w:rFonts w:hint="eastAsia"/>
          <w:b/>
          <w:bCs/>
          <w:kern w:val="10"/>
          <w:sz w:val="28"/>
          <w:szCs w:val="28"/>
        </w:rPr>
        <w:t>（三）作品呈现（30分）</w:t>
      </w:r>
    </w:p>
    <w:p w:rsidR="00343CB0" w:rsidRDefault="0097435B">
      <w:pPr>
        <w:spacing w:line="500" w:lineRule="exact"/>
        <w:ind w:firstLineChars="200" w:firstLine="560"/>
        <w:rPr>
          <w:kern w:val="10"/>
          <w:sz w:val="28"/>
          <w:szCs w:val="28"/>
        </w:rPr>
      </w:pPr>
      <w:r>
        <w:rPr>
          <w:rFonts w:hint="eastAsia"/>
          <w:kern w:val="10"/>
          <w:sz w:val="28"/>
          <w:szCs w:val="28"/>
        </w:rPr>
        <w:t>摆盘实用（不允许使用盘中盘），装饰或点缀物可食用，便于服务人员传送；色泽明亮，色彩鲜明，各种色彩搭配和谐；具有现代艺术观赏性，富有食欲和视觉冲击力；作品造型、规格、份量一致，无多做挑选。</w:t>
      </w:r>
    </w:p>
    <w:p w:rsidR="00343CB0" w:rsidRDefault="0097435B">
      <w:pPr>
        <w:spacing w:line="500" w:lineRule="exact"/>
        <w:ind w:firstLineChars="200" w:firstLine="562"/>
        <w:rPr>
          <w:b/>
          <w:bCs/>
          <w:kern w:val="10"/>
          <w:sz w:val="28"/>
          <w:szCs w:val="28"/>
        </w:rPr>
      </w:pPr>
      <w:r>
        <w:rPr>
          <w:rFonts w:hint="eastAsia"/>
          <w:b/>
          <w:bCs/>
          <w:kern w:val="10"/>
          <w:sz w:val="28"/>
          <w:szCs w:val="28"/>
        </w:rPr>
        <w:t>（四）口味质感（30分）</w:t>
      </w:r>
    </w:p>
    <w:p w:rsidR="00343CB0" w:rsidRDefault="0097435B">
      <w:pPr>
        <w:spacing w:line="500" w:lineRule="exact"/>
        <w:ind w:firstLineChars="200" w:firstLine="560"/>
        <w:rPr>
          <w:kern w:val="10"/>
          <w:sz w:val="28"/>
          <w:szCs w:val="28"/>
        </w:rPr>
      </w:pPr>
      <w:r>
        <w:rPr>
          <w:rFonts w:hint="eastAsia"/>
          <w:kern w:val="10"/>
          <w:sz w:val="28"/>
          <w:szCs w:val="28"/>
        </w:rPr>
        <w:t>口味质感与作品说明表说明一致；主味突出，风味特别、调味适当，富有层次感；火候得当，无腥膻等异味；食材质感鲜明，符合应有的口感特点。</w:t>
      </w:r>
    </w:p>
    <w:p w:rsidR="00343CB0" w:rsidRDefault="0097435B">
      <w:pPr>
        <w:spacing w:line="500" w:lineRule="exact"/>
        <w:ind w:firstLineChars="200" w:firstLine="562"/>
        <w:rPr>
          <w:b/>
          <w:bCs/>
          <w:kern w:val="10"/>
          <w:sz w:val="28"/>
          <w:szCs w:val="28"/>
        </w:rPr>
      </w:pPr>
      <w:r>
        <w:rPr>
          <w:rFonts w:hint="eastAsia"/>
          <w:b/>
          <w:bCs/>
          <w:kern w:val="10"/>
          <w:sz w:val="28"/>
          <w:szCs w:val="28"/>
        </w:rPr>
        <w:t>（五）卫生节约（10分）</w:t>
      </w:r>
    </w:p>
    <w:p w:rsidR="00343CB0" w:rsidRDefault="0097435B">
      <w:pPr>
        <w:spacing w:line="500" w:lineRule="exact"/>
        <w:ind w:firstLineChars="200" w:firstLine="560"/>
        <w:rPr>
          <w:b/>
          <w:bCs/>
          <w:sz w:val="28"/>
          <w:szCs w:val="28"/>
          <w:lang w:val="en-US"/>
        </w:rPr>
        <w:sectPr w:rsidR="00343CB0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440" w:right="1758" w:bottom="1440" w:left="1758" w:header="851" w:footer="992" w:gutter="0"/>
          <w:pgNumType w:fmt="numberInDash"/>
          <w:cols w:space="720"/>
          <w:docGrid w:type="lines" w:linePitch="312"/>
        </w:sectPr>
      </w:pPr>
      <w:r>
        <w:rPr>
          <w:rFonts w:hint="eastAsia"/>
          <w:kern w:val="10"/>
          <w:sz w:val="28"/>
          <w:szCs w:val="28"/>
        </w:rPr>
        <w:t>熟悉原料特性，充分利用原料，达到物尽其用，无浪费现象；合理使用水、电、气，无能源消耗浪费；所有过程符合食品安全规定，工艺流程安排合理，操作清洁卫生。</w:t>
      </w:r>
    </w:p>
    <w:p w:rsidR="00343CB0" w:rsidRPr="0001254C" w:rsidRDefault="00343CB0" w:rsidP="0001254C">
      <w:pPr>
        <w:spacing w:line="240" w:lineRule="atLeast"/>
        <w:rPr>
          <w:rFonts w:hint="eastAsia"/>
          <w:color w:val="000000"/>
          <w:lang w:val="en-US" w:bidi="ar"/>
        </w:rPr>
      </w:pPr>
      <w:bookmarkStart w:id="0" w:name="_GoBack"/>
      <w:bookmarkEnd w:id="0"/>
    </w:p>
    <w:sectPr w:rsidR="00343CB0" w:rsidRPr="0001254C">
      <w:pgSz w:w="11906" w:h="16838"/>
      <w:pgMar w:top="1440" w:right="1758" w:bottom="1440" w:left="175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DB9" w:rsidRDefault="00FC3DB9">
      <w:r>
        <w:separator/>
      </w:r>
    </w:p>
  </w:endnote>
  <w:endnote w:type="continuationSeparator" w:id="0">
    <w:p w:rsidR="00FC3DB9" w:rsidRDefault="00FC3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CB0" w:rsidRDefault="0097435B">
    <w:pPr>
      <w:pStyle w:val="a8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43CB0" w:rsidRDefault="0097435B">
                          <w:pPr>
                            <w:pStyle w:val="a8"/>
                          </w:pP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01254C">
                            <w:rPr>
                              <w:noProof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" filled="f" fillcolor="white [3201]" stroked="f" strokeweight=".5pt">
              <v:textbox style="mso-fit-shape-to-text:t" inset="0,0,0,0">
                <w:txbxContent>
                  <w:p w:rsidR="00343CB0" w:rsidRDefault="0097435B">
                    <w:pPr>
                      <w:pStyle w:val="a8"/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 w:rsidR="0001254C">
                      <w:rPr>
                        <w:noProof/>
                        <w:sz w:val="32"/>
                        <w:szCs w:val="32"/>
                      </w:rPr>
                      <w:t>- 1 -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DB9" w:rsidRDefault="00FC3DB9">
      <w:r>
        <w:separator/>
      </w:r>
    </w:p>
  </w:footnote>
  <w:footnote w:type="continuationSeparator" w:id="0">
    <w:p w:rsidR="00FC3DB9" w:rsidRDefault="00FC3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CB0" w:rsidRDefault="00343CB0">
    <w:pPr>
      <w:pStyle w:val="a9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CB0" w:rsidRDefault="00343CB0">
    <w:pPr>
      <w:pStyle w:val="a9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CB0" w:rsidRDefault="00343CB0">
    <w:pPr>
      <w:pStyle w:val="a9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C4C53C8"/>
    <w:multiLevelType w:val="singleLevel"/>
    <w:tmpl w:val="DC4C53C8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13302D"/>
    <w:rsid w:val="0001254C"/>
    <w:rsid w:val="00343CB0"/>
    <w:rsid w:val="00527A83"/>
    <w:rsid w:val="0063005C"/>
    <w:rsid w:val="007E06C6"/>
    <w:rsid w:val="0083691A"/>
    <w:rsid w:val="0097435B"/>
    <w:rsid w:val="009F7AF3"/>
    <w:rsid w:val="00A33D2A"/>
    <w:rsid w:val="00A96C61"/>
    <w:rsid w:val="00AA13FC"/>
    <w:rsid w:val="00AB3363"/>
    <w:rsid w:val="00B04E72"/>
    <w:rsid w:val="00DB2B50"/>
    <w:rsid w:val="00E53845"/>
    <w:rsid w:val="00E6628C"/>
    <w:rsid w:val="00E72DE1"/>
    <w:rsid w:val="00EF19A7"/>
    <w:rsid w:val="00FC3DB9"/>
    <w:rsid w:val="03E60D2A"/>
    <w:rsid w:val="054B5837"/>
    <w:rsid w:val="055A5960"/>
    <w:rsid w:val="06092E36"/>
    <w:rsid w:val="07E271C2"/>
    <w:rsid w:val="086A6BC2"/>
    <w:rsid w:val="08F017D0"/>
    <w:rsid w:val="09D17765"/>
    <w:rsid w:val="0BE3359F"/>
    <w:rsid w:val="0CC17AD3"/>
    <w:rsid w:val="0CDB733D"/>
    <w:rsid w:val="0E047A43"/>
    <w:rsid w:val="0E35641E"/>
    <w:rsid w:val="0FAD6FC0"/>
    <w:rsid w:val="10CC1D80"/>
    <w:rsid w:val="11094B32"/>
    <w:rsid w:val="116730ED"/>
    <w:rsid w:val="130212BC"/>
    <w:rsid w:val="1513302D"/>
    <w:rsid w:val="16D70176"/>
    <w:rsid w:val="171A0924"/>
    <w:rsid w:val="17206423"/>
    <w:rsid w:val="17220464"/>
    <w:rsid w:val="180A3A22"/>
    <w:rsid w:val="1B7D5FE7"/>
    <w:rsid w:val="1BCD1AF7"/>
    <w:rsid w:val="1C7D379F"/>
    <w:rsid w:val="1E3F346E"/>
    <w:rsid w:val="1E8F2AF3"/>
    <w:rsid w:val="23922C9A"/>
    <w:rsid w:val="24223F98"/>
    <w:rsid w:val="280B7C27"/>
    <w:rsid w:val="294F3121"/>
    <w:rsid w:val="29AA4205"/>
    <w:rsid w:val="2D4F16EA"/>
    <w:rsid w:val="2EC96E49"/>
    <w:rsid w:val="32141086"/>
    <w:rsid w:val="362755AF"/>
    <w:rsid w:val="374508AE"/>
    <w:rsid w:val="3B36753B"/>
    <w:rsid w:val="3C406E4C"/>
    <w:rsid w:val="3E3E3032"/>
    <w:rsid w:val="3EEB6057"/>
    <w:rsid w:val="42C46677"/>
    <w:rsid w:val="43002841"/>
    <w:rsid w:val="4A2E23CF"/>
    <w:rsid w:val="4CBD658C"/>
    <w:rsid w:val="4CC82E3B"/>
    <w:rsid w:val="4CD32A96"/>
    <w:rsid w:val="50EC3BD9"/>
    <w:rsid w:val="51741708"/>
    <w:rsid w:val="52755AFC"/>
    <w:rsid w:val="53314C6F"/>
    <w:rsid w:val="53730297"/>
    <w:rsid w:val="55196066"/>
    <w:rsid w:val="55701066"/>
    <w:rsid w:val="583A3C4A"/>
    <w:rsid w:val="587450ED"/>
    <w:rsid w:val="587C0557"/>
    <w:rsid w:val="58EA2490"/>
    <w:rsid w:val="58EE64C1"/>
    <w:rsid w:val="5A2E4445"/>
    <w:rsid w:val="5CEA0B6B"/>
    <w:rsid w:val="5D3C045B"/>
    <w:rsid w:val="5D993429"/>
    <w:rsid w:val="5DF63A33"/>
    <w:rsid w:val="5F6568D3"/>
    <w:rsid w:val="603203C7"/>
    <w:rsid w:val="60456B2C"/>
    <w:rsid w:val="62C36EF2"/>
    <w:rsid w:val="65BA17A1"/>
    <w:rsid w:val="71BC1B71"/>
    <w:rsid w:val="72B12DDD"/>
    <w:rsid w:val="761F322F"/>
    <w:rsid w:val="7750047E"/>
    <w:rsid w:val="78A27D87"/>
    <w:rsid w:val="791E20F0"/>
    <w:rsid w:val="79C94A38"/>
    <w:rsid w:val="7D5A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4479AE"/>
  <w15:docId w15:val="{175B19A9-CF83-49C7-8658-AF4E7A24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Body Text First Inden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val="zh-CN" w:bidi="zh-CN"/>
    </w:rPr>
  </w:style>
  <w:style w:type="paragraph" w:styleId="2">
    <w:name w:val="heading 2"/>
    <w:basedOn w:val="a"/>
    <w:next w:val="a"/>
    <w:uiPriority w:val="1"/>
    <w:qFormat/>
    <w:pPr>
      <w:ind w:left="1159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Balloon Text"/>
    <w:basedOn w:val="a"/>
    <w:link w:val="a7"/>
    <w:rPr>
      <w:sz w:val="18"/>
      <w:szCs w:val="18"/>
    </w:rPr>
  </w:style>
  <w:style w:type="paragraph" w:styleId="a8">
    <w:name w:val="footer"/>
    <w:basedOn w:val="a"/>
    <w:uiPriority w:val="99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header"/>
    <w:basedOn w:val="a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annotation subject"/>
    <w:basedOn w:val="a3"/>
    <w:next w:val="a3"/>
    <w:link w:val="ab"/>
    <w:rPr>
      <w:b/>
      <w:bCs/>
    </w:rPr>
  </w:style>
  <w:style w:type="paragraph" w:styleId="ac">
    <w:name w:val="Body Text First Indent"/>
    <w:basedOn w:val="a"/>
    <w:qFormat/>
    <w:pPr>
      <w:spacing w:after="120"/>
      <w:ind w:firstLineChars="100" w:firstLine="420"/>
    </w:pPr>
    <w:rPr>
      <w:rFonts w:eastAsia="宋体" w:cs="Times New Roman"/>
      <w:kern w:val="2"/>
      <w:sz w:val="21"/>
      <w:szCs w:val="24"/>
    </w:rPr>
  </w:style>
  <w:style w:type="character" w:styleId="ad">
    <w:name w:val="Hyperlink"/>
    <w:basedOn w:val="a0"/>
    <w:qFormat/>
    <w:rPr>
      <w:color w:val="0000FF"/>
      <w:u w:val="single"/>
    </w:rPr>
  </w:style>
  <w:style w:type="character" w:styleId="ae">
    <w:name w:val="annotation reference"/>
    <w:basedOn w:val="a0"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批注框文本 字符"/>
    <w:basedOn w:val="a0"/>
    <w:link w:val="a6"/>
    <w:rPr>
      <w:rFonts w:ascii="仿宋_GB2312" w:eastAsia="仿宋_GB2312" w:hAnsi="仿宋_GB2312" w:cs="仿宋_GB2312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rPr>
      <w:rFonts w:ascii="仿宋_GB2312" w:eastAsia="仿宋_GB2312" w:hAnsi="仿宋_GB2312" w:cs="仿宋_GB2312"/>
      <w:sz w:val="22"/>
      <w:szCs w:val="22"/>
      <w:lang w:val="zh-CN" w:bidi="zh-CN"/>
    </w:rPr>
  </w:style>
  <w:style w:type="character" w:customStyle="1" w:styleId="ab">
    <w:name w:val="批注主题 字符"/>
    <w:basedOn w:val="a4"/>
    <w:link w:val="aa"/>
    <w:rPr>
      <w:rFonts w:ascii="仿宋_GB2312" w:eastAsia="仿宋_GB2312" w:hAnsi="仿宋_GB2312" w:cs="仿宋_GB2312"/>
      <w:b/>
      <w:bCs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</Words>
  <Characters>952</Characters>
  <Application>Microsoft Office Word</Application>
  <DocSecurity>0</DocSecurity>
  <Lines>7</Lines>
  <Paragraphs>2</Paragraphs>
  <ScaleCrop>false</ScaleCrop>
  <Company>Microsoft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源圈方片A</dc:creator>
  <cp:lastModifiedBy>admin</cp:lastModifiedBy>
  <cp:revision>3</cp:revision>
  <cp:lastPrinted>2021-11-04T08:04:00Z</cp:lastPrinted>
  <dcterms:created xsi:type="dcterms:W3CDTF">2021-11-05T02:39:00Z</dcterms:created>
  <dcterms:modified xsi:type="dcterms:W3CDTF">2021-11-05T02:40:00Z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E2762EE49F6E423AAE5B730CDE2A73D7</vt:lpwstr>
  </property>
</Properties>
</file>