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0F" w:rsidRDefault="000A1173">
      <w:pPr>
        <w:spacing w:line="500" w:lineRule="exact"/>
        <w:rPr>
          <w:rFonts w:ascii="仿宋_GB2312" w:eastAsia="仿宋_GB2312" w:hAnsi="宋体"/>
          <w:sz w:val="32"/>
          <w:szCs w:val="32"/>
        </w:rPr>
      </w:pPr>
      <w:bookmarkStart w:id="0" w:name="_GoBack"/>
      <w:bookmarkEnd w:id="0"/>
      <w:r>
        <w:rPr>
          <w:rFonts w:ascii="仿宋_GB2312" w:eastAsia="仿宋_GB2312" w:hAnsi="宋体" w:hint="eastAsia"/>
          <w:sz w:val="32"/>
          <w:szCs w:val="32"/>
        </w:rPr>
        <w:t>附件：</w:t>
      </w:r>
    </w:p>
    <w:p w:rsidR="00F54B0F" w:rsidRDefault="000A1173">
      <w:pPr>
        <w:jc w:val="center"/>
        <w:rPr>
          <w:rFonts w:ascii="仿宋_GB2312" w:eastAsia="方正小标宋简体" w:hAnsi="宋体"/>
          <w:sz w:val="36"/>
          <w:szCs w:val="36"/>
        </w:rPr>
      </w:pPr>
      <w:r>
        <w:rPr>
          <w:rFonts w:ascii="方正小标宋简体" w:eastAsia="方正小标宋简体" w:hAnsi="华文仿宋" w:hint="eastAsia"/>
          <w:sz w:val="36"/>
          <w:szCs w:val="36"/>
        </w:rPr>
        <w:t>2022年度学生餐中央厨房好案例申报表</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49"/>
        <w:gridCol w:w="2075"/>
        <w:gridCol w:w="1510"/>
        <w:gridCol w:w="21"/>
        <w:gridCol w:w="194"/>
        <w:gridCol w:w="1290"/>
        <w:gridCol w:w="1795"/>
        <w:gridCol w:w="1355"/>
        <w:gridCol w:w="657"/>
      </w:tblGrid>
      <w:tr w:rsidR="00F54B0F">
        <w:trPr>
          <w:cantSplit/>
          <w:trHeight w:val="544"/>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企业名称</w:t>
            </w:r>
          </w:p>
        </w:tc>
        <w:tc>
          <w:tcPr>
            <w:tcW w:w="5090" w:type="dxa"/>
            <w:gridSpan w:val="5"/>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795"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法定代表人</w:t>
            </w:r>
          </w:p>
        </w:tc>
        <w:tc>
          <w:tcPr>
            <w:tcW w:w="2012" w:type="dxa"/>
            <w:gridSpan w:val="2"/>
            <w:vAlign w:val="center"/>
          </w:tcPr>
          <w:p w:rsidR="00F54B0F" w:rsidRDefault="00F54B0F">
            <w:pPr>
              <w:ind w:rightChars="-30" w:right="-63"/>
              <w:jc w:val="left"/>
              <w:rPr>
                <w:rFonts w:ascii="宋体" w:hAnsi="宋体"/>
                <w:b/>
                <w:szCs w:val="21"/>
              </w:rPr>
            </w:pPr>
          </w:p>
        </w:tc>
      </w:tr>
      <w:tr w:rsidR="00F54B0F">
        <w:trPr>
          <w:cantSplit/>
          <w:trHeight w:val="544"/>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企业地址</w:t>
            </w:r>
          </w:p>
        </w:tc>
        <w:tc>
          <w:tcPr>
            <w:tcW w:w="5090" w:type="dxa"/>
            <w:gridSpan w:val="5"/>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795"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企业类型</w:t>
            </w:r>
          </w:p>
        </w:tc>
        <w:tc>
          <w:tcPr>
            <w:tcW w:w="2012" w:type="dxa"/>
            <w:gridSpan w:val="2"/>
            <w:vAlign w:val="center"/>
          </w:tcPr>
          <w:p w:rsidR="00F54B0F" w:rsidRDefault="00F54B0F">
            <w:pPr>
              <w:ind w:rightChars="-30" w:right="-63"/>
              <w:jc w:val="left"/>
              <w:rPr>
                <w:rFonts w:ascii="宋体" w:hAnsi="宋体"/>
                <w:b/>
                <w:szCs w:val="21"/>
              </w:rPr>
            </w:pPr>
          </w:p>
        </w:tc>
      </w:tr>
      <w:tr w:rsidR="00F54B0F">
        <w:trPr>
          <w:cantSplit/>
          <w:trHeight w:val="544"/>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纳税人资质</w:t>
            </w:r>
          </w:p>
        </w:tc>
        <w:tc>
          <w:tcPr>
            <w:tcW w:w="2075" w:type="dxa"/>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510"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员工人数</w:t>
            </w:r>
          </w:p>
        </w:tc>
        <w:tc>
          <w:tcPr>
            <w:tcW w:w="1505" w:type="dxa"/>
            <w:gridSpan w:val="3"/>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795"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营养师人数</w:t>
            </w:r>
          </w:p>
        </w:tc>
        <w:tc>
          <w:tcPr>
            <w:tcW w:w="2012" w:type="dxa"/>
            <w:gridSpan w:val="2"/>
            <w:vAlign w:val="center"/>
          </w:tcPr>
          <w:p w:rsidR="00F54B0F" w:rsidRDefault="00F54B0F">
            <w:pPr>
              <w:ind w:rightChars="-30" w:right="-63"/>
              <w:jc w:val="left"/>
              <w:rPr>
                <w:rFonts w:ascii="宋体" w:hAnsi="宋体"/>
                <w:b/>
                <w:szCs w:val="21"/>
              </w:rPr>
            </w:pPr>
          </w:p>
        </w:tc>
      </w:tr>
      <w:tr w:rsidR="00F54B0F">
        <w:trPr>
          <w:cantSplit/>
          <w:trHeight w:val="544"/>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董事长</w:t>
            </w:r>
          </w:p>
        </w:tc>
        <w:tc>
          <w:tcPr>
            <w:tcW w:w="2075" w:type="dxa"/>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510"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联系方式</w:t>
            </w:r>
          </w:p>
        </w:tc>
        <w:tc>
          <w:tcPr>
            <w:tcW w:w="1505" w:type="dxa"/>
            <w:gridSpan w:val="3"/>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795"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食品安全员人 数</w:t>
            </w:r>
          </w:p>
        </w:tc>
        <w:tc>
          <w:tcPr>
            <w:tcW w:w="2012" w:type="dxa"/>
            <w:gridSpan w:val="2"/>
            <w:vAlign w:val="center"/>
          </w:tcPr>
          <w:p w:rsidR="00F54B0F" w:rsidRDefault="00F54B0F">
            <w:pPr>
              <w:ind w:rightChars="-30" w:right="-63"/>
              <w:jc w:val="left"/>
              <w:rPr>
                <w:rFonts w:ascii="宋体" w:hAnsi="宋体"/>
                <w:b/>
                <w:szCs w:val="21"/>
              </w:rPr>
            </w:pPr>
          </w:p>
        </w:tc>
      </w:tr>
      <w:tr w:rsidR="00F54B0F">
        <w:trPr>
          <w:cantSplit/>
          <w:trHeight w:val="544"/>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联系人</w:t>
            </w:r>
          </w:p>
        </w:tc>
        <w:tc>
          <w:tcPr>
            <w:tcW w:w="2075" w:type="dxa"/>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510"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职务</w:t>
            </w:r>
          </w:p>
        </w:tc>
        <w:tc>
          <w:tcPr>
            <w:tcW w:w="1505" w:type="dxa"/>
            <w:gridSpan w:val="3"/>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795"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联系方式</w:t>
            </w:r>
          </w:p>
        </w:tc>
        <w:tc>
          <w:tcPr>
            <w:tcW w:w="2012" w:type="dxa"/>
            <w:gridSpan w:val="2"/>
            <w:vAlign w:val="center"/>
          </w:tcPr>
          <w:p w:rsidR="00F54B0F" w:rsidRDefault="00F54B0F">
            <w:pPr>
              <w:ind w:rightChars="-30" w:right="-63"/>
              <w:jc w:val="left"/>
              <w:rPr>
                <w:rFonts w:ascii="宋体" w:hAnsi="宋体"/>
                <w:b/>
                <w:szCs w:val="21"/>
              </w:rPr>
            </w:pPr>
          </w:p>
        </w:tc>
      </w:tr>
      <w:tr w:rsidR="00F54B0F">
        <w:trPr>
          <w:cantSplit/>
          <w:trHeight w:val="544"/>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中央厨房面积</w:t>
            </w:r>
          </w:p>
        </w:tc>
        <w:tc>
          <w:tcPr>
            <w:tcW w:w="2075" w:type="dxa"/>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510"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日产量</w:t>
            </w:r>
          </w:p>
        </w:tc>
        <w:tc>
          <w:tcPr>
            <w:tcW w:w="1505" w:type="dxa"/>
            <w:gridSpan w:val="3"/>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1795" w:type="dxa"/>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服务学校</w:t>
            </w:r>
          </w:p>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数 量</w:t>
            </w:r>
          </w:p>
        </w:tc>
        <w:tc>
          <w:tcPr>
            <w:tcW w:w="2012" w:type="dxa"/>
            <w:gridSpan w:val="2"/>
            <w:vAlign w:val="center"/>
          </w:tcPr>
          <w:p w:rsidR="00F54B0F" w:rsidRDefault="00F54B0F">
            <w:pPr>
              <w:ind w:rightChars="-30" w:right="-63"/>
              <w:jc w:val="left"/>
              <w:rPr>
                <w:rFonts w:ascii="宋体" w:hAnsi="宋体"/>
                <w:b/>
                <w:szCs w:val="21"/>
              </w:rPr>
            </w:pPr>
          </w:p>
        </w:tc>
      </w:tr>
      <w:tr w:rsidR="00F54B0F">
        <w:trPr>
          <w:cantSplit/>
          <w:trHeight w:val="484"/>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体系认证</w:t>
            </w:r>
          </w:p>
        </w:tc>
        <w:tc>
          <w:tcPr>
            <w:tcW w:w="8897" w:type="dxa"/>
            <w:gridSpan w:val="8"/>
            <w:vAlign w:val="center"/>
          </w:tcPr>
          <w:p w:rsidR="00F54B0F" w:rsidRDefault="000A1173">
            <w:pPr>
              <w:rPr>
                <w:rFonts w:ascii="宋体" w:hAnsi="宋体"/>
                <w:b/>
                <w:szCs w:val="21"/>
              </w:rPr>
            </w:pPr>
            <w:r>
              <w:rPr>
                <w:rFonts w:ascii="宋体" w:hAnsi="宋体" w:hint="eastAsia"/>
                <w:b/>
                <w:szCs w:val="21"/>
              </w:rPr>
              <w:t>□HACCP  □ISO22000  □ISO9001  □ISO45001  □ISO14001  □其他   □配餐资质</w:t>
            </w:r>
          </w:p>
        </w:tc>
      </w:tr>
      <w:tr w:rsidR="00F54B0F">
        <w:trPr>
          <w:cantSplit/>
          <w:trHeight w:val="785"/>
          <w:jc w:val="center"/>
        </w:trPr>
        <w:tc>
          <w:tcPr>
            <w:tcW w:w="1684" w:type="dxa"/>
            <w:gridSpan w:val="2"/>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配餐形式</w:t>
            </w:r>
          </w:p>
        </w:tc>
        <w:tc>
          <w:tcPr>
            <w:tcW w:w="3800" w:type="dxa"/>
            <w:gridSpan w:val="4"/>
            <w:vAlign w:val="center"/>
          </w:tcPr>
          <w:p w:rsidR="00F54B0F" w:rsidRDefault="000A1173">
            <w:pPr>
              <w:rPr>
                <w:rFonts w:ascii="仿宋_GB2312" w:eastAsia="仿宋_GB2312" w:hAnsi="宋体" w:cs="宋体"/>
                <w:b/>
                <w:color w:val="000000"/>
                <w:kern w:val="0"/>
                <w:position w:val="6"/>
                <w:sz w:val="24"/>
                <w:szCs w:val="21"/>
              </w:rPr>
            </w:pPr>
            <w:r>
              <w:rPr>
                <w:rFonts w:ascii="宋体" w:hAnsi="宋体" w:hint="eastAsia"/>
                <w:b/>
                <w:szCs w:val="21"/>
              </w:rPr>
              <w:t>□盒餐  □桶饭 □净菜  □其他</w:t>
            </w:r>
          </w:p>
        </w:tc>
        <w:tc>
          <w:tcPr>
            <w:tcW w:w="1290" w:type="dxa"/>
            <w:vAlign w:val="center"/>
          </w:tcPr>
          <w:p w:rsidR="00F54B0F" w:rsidRDefault="000A1173">
            <w:pPr>
              <w:spacing w:line="480" w:lineRule="exact"/>
              <w:jc w:val="center"/>
              <w:rPr>
                <w:rFonts w:ascii="宋体" w:hAnsi="宋体"/>
                <w:b/>
                <w:szCs w:val="21"/>
              </w:rPr>
            </w:pPr>
            <w:r>
              <w:rPr>
                <w:rFonts w:ascii="宋体" w:hAnsi="宋体" w:hint="eastAsia"/>
                <w:b/>
                <w:szCs w:val="21"/>
              </w:rPr>
              <w:t>就餐</w:t>
            </w:r>
          </w:p>
          <w:p w:rsidR="00F54B0F" w:rsidRDefault="000A1173">
            <w:pPr>
              <w:spacing w:line="480" w:lineRule="exact"/>
              <w:jc w:val="center"/>
              <w:rPr>
                <w:rFonts w:ascii="宋体" w:hAnsi="宋体"/>
                <w:b/>
                <w:szCs w:val="21"/>
              </w:rPr>
            </w:pPr>
            <w:r>
              <w:rPr>
                <w:rFonts w:ascii="宋体" w:hAnsi="宋体" w:hint="eastAsia"/>
                <w:b/>
                <w:szCs w:val="21"/>
              </w:rPr>
              <w:t>形式</w:t>
            </w:r>
          </w:p>
        </w:tc>
        <w:tc>
          <w:tcPr>
            <w:tcW w:w="3807" w:type="dxa"/>
            <w:gridSpan w:val="3"/>
            <w:vAlign w:val="center"/>
          </w:tcPr>
          <w:p w:rsidR="00F54B0F" w:rsidRDefault="000A1173">
            <w:pPr>
              <w:ind w:rightChars="-30" w:right="-63"/>
              <w:jc w:val="left"/>
              <w:rPr>
                <w:rFonts w:ascii="宋体" w:hAnsi="宋体"/>
                <w:b/>
                <w:szCs w:val="21"/>
              </w:rPr>
            </w:pPr>
            <w:r>
              <w:rPr>
                <w:rFonts w:ascii="宋体" w:hAnsi="宋体" w:hint="eastAsia"/>
                <w:b/>
                <w:szCs w:val="21"/>
              </w:rPr>
              <w:t>□盒餐配送到楼层   □食堂就餐</w:t>
            </w:r>
          </w:p>
          <w:p w:rsidR="00F54B0F" w:rsidRDefault="000A1173">
            <w:pPr>
              <w:ind w:rightChars="-30" w:right="-63"/>
              <w:jc w:val="left"/>
              <w:rPr>
                <w:rFonts w:ascii="仿宋_GB2312" w:eastAsia="仿宋_GB2312" w:hAnsi="宋体" w:cs="宋体"/>
                <w:b/>
                <w:bCs/>
                <w:color w:val="000000"/>
                <w:kern w:val="0"/>
                <w:position w:val="6"/>
                <w:sz w:val="24"/>
                <w:szCs w:val="21"/>
              </w:rPr>
            </w:pPr>
            <w:r>
              <w:rPr>
                <w:rFonts w:ascii="宋体" w:hAnsi="宋体" w:hint="eastAsia"/>
                <w:b/>
                <w:szCs w:val="21"/>
              </w:rPr>
              <w:t xml:space="preserve">□桶饭配送到楼层   □其他     </w:t>
            </w:r>
          </w:p>
        </w:tc>
      </w:tr>
      <w:tr w:rsidR="00F54B0F">
        <w:trPr>
          <w:cantSplit/>
          <w:trHeight w:val="824"/>
          <w:jc w:val="center"/>
        </w:trPr>
        <w:tc>
          <w:tcPr>
            <w:tcW w:w="1135" w:type="dxa"/>
            <w:vAlign w:val="center"/>
          </w:tcPr>
          <w:p w:rsidR="00F54B0F" w:rsidRDefault="000A1173">
            <w:pPr>
              <w:jc w:val="center"/>
              <w:rPr>
                <w:rFonts w:ascii="宋体" w:hAnsi="宋体"/>
                <w:b/>
                <w:szCs w:val="21"/>
              </w:rPr>
            </w:pPr>
            <w:r>
              <w:rPr>
                <w:rFonts w:ascii="宋体" w:hAnsi="宋体" w:hint="eastAsia"/>
                <w:b/>
                <w:szCs w:val="21"/>
              </w:rPr>
              <w:t>内容</w:t>
            </w:r>
          </w:p>
        </w:tc>
        <w:tc>
          <w:tcPr>
            <w:tcW w:w="8789" w:type="dxa"/>
            <w:gridSpan w:val="8"/>
            <w:vAlign w:val="center"/>
          </w:tcPr>
          <w:p w:rsidR="00F54B0F" w:rsidRDefault="000A1173">
            <w:pPr>
              <w:jc w:val="center"/>
              <w:rPr>
                <w:rFonts w:ascii="宋体" w:hAnsi="宋体"/>
                <w:b/>
                <w:szCs w:val="21"/>
              </w:rPr>
            </w:pPr>
            <w:r>
              <w:rPr>
                <w:rFonts w:ascii="宋体" w:hAnsi="宋体" w:hint="eastAsia"/>
                <w:b/>
                <w:szCs w:val="21"/>
              </w:rPr>
              <w:t>具体要求</w:t>
            </w:r>
          </w:p>
        </w:tc>
        <w:tc>
          <w:tcPr>
            <w:tcW w:w="657" w:type="dxa"/>
            <w:vAlign w:val="center"/>
          </w:tcPr>
          <w:p w:rsidR="00F54B0F" w:rsidRDefault="000A1173">
            <w:pPr>
              <w:ind w:rightChars="-30" w:right="-63"/>
              <w:jc w:val="center"/>
              <w:rPr>
                <w:rFonts w:ascii="宋体" w:hAnsi="宋体"/>
                <w:b/>
                <w:szCs w:val="21"/>
              </w:rPr>
            </w:pPr>
            <w:r>
              <w:rPr>
                <w:rFonts w:ascii="宋体" w:hAnsi="宋体" w:hint="eastAsia"/>
                <w:b/>
                <w:szCs w:val="21"/>
              </w:rPr>
              <w:t>是否</w:t>
            </w:r>
          </w:p>
          <w:p w:rsidR="00F54B0F" w:rsidRDefault="000A1173">
            <w:pPr>
              <w:ind w:rightChars="-30" w:right="-63"/>
              <w:jc w:val="center"/>
              <w:rPr>
                <w:rFonts w:ascii="宋体" w:hAnsi="宋体"/>
                <w:b/>
                <w:szCs w:val="21"/>
              </w:rPr>
            </w:pPr>
            <w:r>
              <w:rPr>
                <w:rFonts w:ascii="宋体" w:hAnsi="宋体" w:hint="eastAsia"/>
                <w:b/>
                <w:szCs w:val="21"/>
              </w:rPr>
              <w:t>满足</w:t>
            </w:r>
          </w:p>
        </w:tc>
      </w:tr>
      <w:tr w:rsidR="00F54B0F">
        <w:trPr>
          <w:cantSplit/>
          <w:trHeight w:val="90"/>
          <w:jc w:val="center"/>
        </w:trPr>
        <w:tc>
          <w:tcPr>
            <w:tcW w:w="1135" w:type="dxa"/>
            <w:vMerge w:val="restart"/>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基本</w:t>
            </w:r>
          </w:p>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要求</w:t>
            </w:r>
          </w:p>
        </w:tc>
        <w:tc>
          <w:tcPr>
            <w:tcW w:w="8789" w:type="dxa"/>
            <w:gridSpan w:val="8"/>
            <w:tcBorders>
              <w:bottom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1.食品经营许可证、配餐资质、HACCP等体系认证；</w:t>
            </w:r>
          </w:p>
        </w:tc>
        <w:tc>
          <w:tcPr>
            <w:tcW w:w="657" w:type="dxa"/>
            <w:vAlign w:val="center"/>
          </w:tcPr>
          <w:p w:rsidR="00F54B0F" w:rsidRDefault="00F54B0F">
            <w:pPr>
              <w:rPr>
                <w:rFonts w:ascii="宋体" w:hAnsi="宋体"/>
                <w:bCs/>
                <w:szCs w:val="21"/>
              </w:rPr>
            </w:pPr>
          </w:p>
        </w:tc>
      </w:tr>
      <w:tr w:rsidR="00F54B0F">
        <w:trPr>
          <w:cantSplit/>
          <w:trHeight w:val="90"/>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bottom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2.未发生食品安全事故、未有过相关行政处罚；</w:t>
            </w:r>
          </w:p>
        </w:tc>
        <w:tc>
          <w:tcPr>
            <w:tcW w:w="657" w:type="dxa"/>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90"/>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bottom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3.年均满意度为80%以上。</w:t>
            </w:r>
          </w:p>
        </w:tc>
        <w:tc>
          <w:tcPr>
            <w:tcW w:w="657" w:type="dxa"/>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90"/>
          <w:jc w:val="center"/>
        </w:trPr>
        <w:tc>
          <w:tcPr>
            <w:tcW w:w="1135" w:type="dxa"/>
            <w:vMerge w:val="restart"/>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选址</w:t>
            </w:r>
          </w:p>
        </w:tc>
        <w:tc>
          <w:tcPr>
            <w:tcW w:w="8789" w:type="dxa"/>
            <w:gridSpan w:val="8"/>
            <w:tcBorders>
              <w:bottom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1.选择地势干燥、有给排水条件和电力供应的地区，不得设在易受到污染的区域。</w:t>
            </w:r>
          </w:p>
        </w:tc>
        <w:tc>
          <w:tcPr>
            <w:tcW w:w="657" w:type="dxa"/>
            <w:vAlign w:val="center"/>
          </w:tcPr>
          <w:p w:rsidR="00F54B0F" w:rsidRDefault="00F54B0F">
            <w:pPr>
              <w:rPr>
                <w:rFonts w:ascii="宋体" w:hAnsi="宋体"/>
                <w:bCs/>
                <w:szCs w:val="21"/>
              </w:rPr>
            </w:pPr>
          </w:p>
        </w:tc>
      </w:tr>
      <w:tr w:rsidR="00F54B0F">
        <w:trPr>
          <w:cantSplit/>
          <w:trHeight w:val="610"/>
          <w:jc w:val="center"/>
        </w:trPr>
        <w:tc>
          <w:tcPr>
            <w:tcW w:w="1135" w:type="dxa"/>
            <w:vMerge/>
            <w:tcBorders>
              <w:bottom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bottom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2.距离粪坑、污水池、暴露垃圾场（站）、旱厕等污染源50m以上，并设置在粉尘、有害气体、放射性物质和其他扩散性污染源的影响范围之外。</w:t>
            </w:r>
          </w:p>
        </w:tc>
        <w:tc>
          <w:tcPr>
            <w:tcW w:w="657" w:type="dxa"/>
            <w:vAlign w:val="center"/>
          </w:tcPr>
          <w:p w:rsidR="00F54B0F" w:rsidRDefault="00F54B0F">
            <w:pPr>
              <w:rPr>
                <w:rFonts w:ascii="宋体" w:hAnsi="宋体"/>
                <w:bCs/>
                <w:szCs w:val="21"/>
              </w:rPr>
            </w:pPr>
          </w:p>
        </w:tc>
      </w:tr>
      <w:tr w:rsidR="00F54B0F">
        <w:trPr>
          <w:cantSplit/>
          <w:trHeight w:val="440"/>
          <w:jc w:val="center"/>
        </w:trPr>
        <w:tc>
          <w:tcPr>
            <w:tcW w:w="1135" w:type="dxa"/>
            <w:vMerge w:val="restart"/>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场所设置布 局</w:t>
            </w:r>
          </w:p>
        </w:tc>
        <w:tc>
          <w:tcPr>
            <w:tcW w:w="8789" w:type="dxa"/>
            <w:gridSpan w:val="8"/>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1.设置具有与供应品种、数量相适应的粗加工、切配、烹调、面点制作、食品冷却、食品包装、待配送食品贮存、工用具清洗消毒等加工操作场所；</w:t>
            </w:r>
          </w:p>
        </w:tc>
        <w:tc>
          <w:tcPr>
            <w:tcW w:w="657" w:type="dxa"/>
            <w:vAlign w:val="center"/>
          </w:tcPr>
          <w:p w:rsidR="00F54B0F" w:rsidRDefault="00F54B0F">
            <w:pPr>
              <w:rPr>
                <w:rFonts w:ascii="宋体" w:hAnsi="宋体"/>
                <w:bCs/>
                <w:szCs w:val="21"/>
              </w:rPr>
            </w:pPr>
          </w:p>
        </w:tc>
      </w:tr>
      <w:tr w:rsidR="00F54B0F">
        <w:trPr>
          <w:cantSplit/>
          <w:trHeight w:val="360"/>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2.设置食品库房、更衣室、二次更衣室、清洁工具存放场所等；</w:t>
            </w:r>
          </w:p>
        </w:tc>
        <w:tc>
          <w:tcPr>
            <w:tcW w:w="657" w:type="dxa"/>
            <w:vAlign w:val="center"/>
          </w:tcPr>
          <w:p w:rsidR="00F54B0F" w:rsidRDefault="00F54B0F">
            <w:pPr>
              <w:rPr>
                <w:rFonts w:ascii="宋体" w:hAnsi="宋体"/>
                <w:bCs/>
                <w:szCs w:val="21"/>
              </w:rPr>
            </w:pPr>
          </w:p>
        </w:tc>
      </w:tr>
      <w:tr w:rsidR="00F54B0F">
        <w:trPr>
          <w:cantSplit/>
          <w:trHeight w:val="508"/>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3.食品处理区分为一般操作区、准清洁区、清洁区，各食品处理区均应设置在室内，且独立分隔；</w:t>
            </w:r>
          </w:p>
        </w:tc>
        <w:tc>
          <w:tcPr>
            <w:tcW w:w="657" w:type="dxa"/>
            <w:vAlign w:val="center"/>
          </w:tcPr>
          <w:p w:rsidR="00F54B0F" w:rsidRDefault="00F54B0F">
            <w:pPr>
              <w:rPr>
                <w:rFonts w:ascii="宋体" w:hAnsi="宋体"/>
                <w:bCs/>
                <w:szCs w:val="21"/>
              </w:rPr>
            </w:pPr>
          </w:p>
        </w:tc>
      </w:tr>
      <w:tr w:rsidR="00F54B0F">
        <w:trPr>
          <w:cantSplit/>
          <w:trHeight w:val="570"/>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4.配制凉菜以及待配送食品贮存的，应分别设置食品加工专间；</w:t>
            </w:r>
          </w:p>
        </w:tc>
        <w:tc>
          <w:tcPr>
            <w:tcW w:w="657" w:type="dxa"/>
            <w:vAlign w:val="center"/>
          </w:tcPr>
          <w:p w:rsidR="00F54B0F" w:rsidRDefault="00F54B0F">
            <w:pPr>
              <w:rPr>
                <w:rFonts w:ascii="宋体" w:hAnsi="宋体"/>
                <w:bCs/>
                <w:szCs w:val="21"/>
              </w:rPr>
            </w:pPr>
          </w:p>
        </w:tc>
      </w:tr>
      <w:tr w:rsidR="00F54B0F">
        <w:trPr>
          <w:cantSplit/>
          <w:trHeight w:val="495"/>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5.食品冷却、包装应设置食品加工专间或专用设施；</w:t>
            </w:r>
          </w:p>
        </w:tc>
        <w:tc>
          <w:tcPr>
            <w:tcW w:w="657" w:type="dxa"/>
            <w:vAlign w:val="center"/>
          </w:tcPr>
          <w:p w:rsidR="00F54B0F" w:rsidRDefault="00F54B0F">
            <w:pPr>
              <w:rPr>
                <w:rFonts w:ascii="宋体" w:hAnsi="宋体"/>
                <w:bCs/>
                <w:szCs w:val="21"/>
              </w:rPr>
            </w:pPr>
          </w:p>
        </w:tc>
      </w:tr>
      <w:tr w:rsidR="00F54B0F">
        <w:trPr>
          <w:cantSplit/>
          <w:trHeight w:val="288"/>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6.各加工操作场所按照原料进入、原料处理、半成品加工、食品分装及待配送食品贮存的顺序合理布局，并能防止食品在存放、操作中产生交叉污染；</w:t>
            </w:r>
          </w:p>
        </w:tc>
        <w:tc>
          <w:tcPr>
            <w:tcW w:w="657" w:type="dxa"/>
            <w:vAlign w:val="center"/>
          </w:tcPr>
          <w:p w:rsidR="00F54B0F" w:rsidRDefault="00F54B0F">
            <w:pPr>
              <w:rPr>
                <w:rFonts w:ascii="宋体" w:hAnsi="宋体"/>
                <w:bCs/>
                <w:szCs w:val="21"/>
              </w:rPr>
            </w:pPr>
          </w:p>
        </w:tc>
      </w:tr>
      <w:tr w:rsidR="00F54B0F">
        <w:trPr>
          <w:cantSplit/>
          <w:trHeight w:val="450"/>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7.</w:t>
            </w:r>
            <w:r>
              <w:rPr>
                <w:rFonts w:ascii="仿宋_GB2312" w:eastAsia="仿宋_GB2312" w:hAnsi="宋体" w:cs="宋体" w:hint="eastAsia"/>
                <w:b/>
                <w:color w:val="000000"/>
                <w:spacing w:val="-6"/>
                <w:kern w:val="0"/>
                <w:position w:val="6"/>
                <w:sz w:val="24"/>
                <w:szCs w:val="21"/>
              </w:rPr>
              <w:t>接触原料、半成品、成品的工具、用具和容器，有明显的区分标识，且分区域存放</w:t>
            </w:r>
            <w:r>
              <w:rPr>
                <w:rFonts w:ascii="仿宋_GB2312" w:eastAsia="仿宋_GB2312" w:hAnsi="宋体" w:cs="宋体" w:hint="eastAsia"/>
                <w:b/>
                <w:color w:val="000000"/>
                <w:kern w:val="0"/>
                <w:position w:val="6"/>
                <w:sz w:val="24"/>
                <w:szCs w:val="21"/>
              </w:rPr>
              <w:t>；</w:t>
            </w:r>
          </w:p>
        </w:tc>
        <w:tc>
          <w:tcPr>
            <w:tcW w:w="657" w:type="dxa"/>
            <w:vAlign w:val="center"/>
          </w:tcPr>
          <w:p w:rsidR="00F54B0F" w:rsidRDefault="00F54B0F">
            <w:pPr>
              <w:rPr>
                <w:rFonts w:ascii="宋体" w:hAnsi="宋体"/>
                <w:bCs/>
                <w:szCs w:val="21"/>
              </w:rPr>
            </w:pPr>
          </w:p>
        </w:tc>
      </w:tr>
      <w:tr w:rsidR="00F54B0F">
        <w:trPr>
          <w:cantSplit/>
          <w:trHeight w:val="540"/>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8.</w:t>
            </w:r>
            <w:r>
              <w:rPr>
                <w:rFonts w:ascii="仿宋_GB2312" w:eastAsia="仿宋_GB2312" w:hAnsi="宋体" w:cs="宋体" w:hint="eastAsia"/>
                <w:b/>
                <w:color w:val="000000"/>
                <w:spacing w:val="-6"/>
                <w:kern w:val="0"/>
                <w:position w:val="6"/>
                <w:sz w:val="24"/>
                <w:szCs w:val="21"/>
              </w:rPr>
              <w:t>接触动物性和植物性食品的工具、用具和容器也有明显的区分标识，且分区域存放</w:t>
            </w:r>
            <w:r>
              <w:rPr>
                <w:rFonts w:ascii="仿宋_GB2312" w:eastAsia="仿宋_GB2312" w:hAnsi="宋体" w:cs="宋体" w:hint="eastAsia"/>
                <w:b/>
                <w:color w:val="000000"/>
                <w:kern w:val="0"/>
                <w:position w:val="6"/>
                <w:sz w:val="24"/>
                <w:szCs w:val="21"/>
              </w:rPr>
              <w:t>。</w:t>
            </w:r>
          </w:p>
        </w:tc>
        <w:tc>
          <w:tcPr>
            <w:tcW w:w="657" w:type="dxa"/>
            <w:vAlign w:val="center"/>
          </w:tcPr>
          <w:p w:rsidR="00F54B0F" w:rsidRDefault="00F54B0F">
            <w:pPr>
              <w:rPr>
                <w:rFonts w:ascii="宋体" w:hAnsi="宋体"/>
                <w:bCs/>
                <w:szCs w:val="21"/>
              </w:rPr>
            </w:pPr>
          </w:p>
        </w:tc>
      </w:tr>
      <w:tr w:rsidR="00F54B0F">
        <w:trPr>
          <w:cantSplit/>
          <w:trHeight w:val="245"/>
          <w:jc w:val="center"/>
        </w:trPr>
        <w:tc>
          <w:tcPr>
            <w:tcW w:w="1135" w:type="dxa"/>
            <w:vMerge w:val="restart"/>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面 积</w:t>
            </w:r>
          </w:p>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要 求</w:t>
            </w:r>
          </w:p>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1.食品加工操作和贮存场所面积原则上≥1000m</w:t>
            </w:r>
            <w:r>
              <w:rPr>
                <w:rFonts w:ascii="仿宋_GB2312" w:eastAsia="仿宋_GB2312" w:hAnsi="宋体" w:cs="宋体" w:hint="eastAsia"/>
                <w:b/>
                <w:color w:val="000000"/>
                <w:kern w:val="0"/>
                <w:position w:val="6"/>
                <w:sz w:val="24"/>
                <w:szCs w:val="21"/>
                <w:vertAlign w:val="superscript"/>
              </w:rPr>
              <w:t>2</w:t>
            </w:r>
            <w:r>
              <w:rPr>
                <w:rFonts w:ascii="仿宋_GB2312" w:eastAsia="仿宋_GB2312" w:hAnsi="宋体" w:cs="宋体" w:hint="eastAsia"/>
                <w:b/>
                <w:color w:val="000000"/>
                <w:kern w:val="0"/>
                <w:position w:val="6"/>
                <w:sz w:val="24"/>
                <w:szCs w:val="21"/>
              </w:rPr>
              <w:t>，应当与加工食品的品种和数量相适应。</w:t>
            </w:r>
          </w:p>
        </w:tc>
        <w:tc>
          <w:tcPr>
            <w:tcW w:w="657" w:type="dxa"/>
            <w:vAlign w:val="center"/>
          </w:tcPr>
          <w:p w:rsidR="00F54B0F" w:rsidRDefault="00F54B0F">
            <w:pPr>
              <w:rPr>
                <w:rFonts w:ascii="宋体" w:hAnsi="宋体"/>
                <w:bCs/>
                <w:szCs w:val="21"/>
              </w:rPr>
            </w:pPr>
          </w:p>
        </w:tc>
      </w:tr>
      <w:tr w:rsidR="00F54B0F">
        <w:trPr>
          <w:cantSplit/>
          <w:trHeight w:val="465"/>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2.切配烹饪场所面积≥食品处理区面积15%；</w:t>
            </w:r>
          </w:p>
        </w:tc>
        <w:tc>
          <w:tcPr>
            <w:tcW w:w="657" w:type="dxa"/>
            <w:vAlign w:val="center"/>
          </w:tcPr>
          <w:p w:rsidR="00F54B0F" w:rsidRDefault="00F54B0F">
            <w:pPr>
              <w:rPr>
                <w:rFonts w:ascii="宋体" w:hAnsi="宋体"/>
                <w:bCs/>
                <w:szCs w:val="21"/>
              </w:rPr>
            </w:pPr>
          </w:p>
        </w:tc>
      </w:tr>
      <w:tr w:rsidR="00F54B0F">
        <w:trPr>
          <w:cantSplit/>
          <w:trHeight w:val="510"/>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3.清洗消毒区面积≥食品处理区面积10%；</w:t>
            </w:r>
          </w:p>
        </w:tc>
        <w:tc>
          <w:tcPr>
            <w:tcW w:w="657" w:type="dxa"/>
            <w:vAlign w:val="center"/>
          </w:tcPr>
          <w:p w:rsidR="00F54B0F" w:rsidRDefault="00F54B0F">
            <w:pPr>
              <w:rPr>
                <w:rFonts w:ascii="宋体" w:hAnsi="宋体"/>
                <w:bCs/>
                <w:szCs w:val="21"/>
              </w:rPr>
            </w:pPr>
          </w:p>
        </w:tc>
      </w:tr>
      <w:tr w:rsidR="00F54B0F">
        <w:trPr>
          <w:cantSplit/>
          <w:trHeight w:val="271"/>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4.凉菜专间面积≥30 m</w:t>
            </w:r>
            <w:r>
              <w:rPr>
                <w:rFonts w:ascii="仿宋_GB2312" w:eastAsia="仿宋_GB2312" w:hAnsi="宋体" w:cs="宋体" w:hint="eastAsia"/>
                <w:b/>
                <w:color w:val="000000"/>
                <w:kern w:val="0"/>
                <w:position w:val="6"/>
                <w:sz w:val="24"/>
                <w:szCs w:val="21"/>
                <w:vertAlign w:val="superscript"/>
              </w:rPr>
              <w:t>2</w:t>
            </w:r>
          </w:p>
        </w:tc>
        <w:tc>
          <w:tcPr>
            <w:tcW w:w="657" w:type="dxa"/>
            <w:vAlign w:val="center"/>
          </w:tcPr>
          <w:p w:rsidR="00F54B0F" w:rsidRDefault="00F54B0F">
            <w:pPr>
              <w:rPr>
                <w:rFonts w:ascii="宋体" w:hAnsi="宋体"/>
                <w:bCs/>
                <w:szCs w:val="21"/>
              </w:rPr>
            </w:pPr>
          </w:p>
        </w:tc>
      </w:tr>
      <w:tr w:rsidR="00F54B0F">
        <w:trPr>
          <w:cantSplit/>
          <w:trHeight w:val="555"/>
          <w:jc w:val="center"/>
        </w:trPr>
        <w:tc>
          <w:tcPr>
            <w:tcW w:w="1135" w:type="dxa"/>
            <w:vMerge/>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5.厂区道路采用混凝土、沥青等便于清洗的硬质材料铺设，有良好的排水系统；</w:t>
            </w:r>
          </w:p>
        </w:tc>
        <w:tc>
          <w:tcPr>
            <w:tcW w:w="657" w:type="dxa"/>
            <w:vAlign w:val="center"/>
          </w:tcPr>
          <w:p w:rsidR="00F54B0F" w:rsidRDefault="00F54B0F">
            <w:pPr>
              <w:rPr>
                <w:rFonts w:ascii="宋体" w:hAnsi="宋体"/>
                <w:bCs/>
                <w:szCs w:val="21"/>
              </w:rPr>
            </w:pPr>
          </w:p>
        </w:tc>
      </w:tr>
      <w:tr w:rsidR="00F54B0F">
        <w:trPr>
          <w:cantSplit/>
          <w:trHeight w:val="559"/>
          <w:jc w:val="center"/>
        </w:trPr>
        <w:tc>
          <w:tcPr>
            <w:tcW w:w="1135" w:type="dxa"/>
            <w:vMerge/>
            <w:vAlign w:val="center"/>
          </w:tcPr>
          <w:p w:rsidR="00F54B0F" w:rsidRDefault="00F54B0F">
            <w:pPr>
              <w:rPr>
                <w:rFonts w:ascii="宋体" w:hAnsi="宋体"/>
                <w:szCs w:val="21"/>
              </w:rPr>
            </w:pPr>
          </w:p>
        </w:tc>
        <w:tc>
          <w:tcPr>
            <w:tcW w:w="8789" w:type="dxa"/>
            <w:gridSpan w:val="8"/>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6.加工经营场所内无圈养、宰杀活的禽畜类动物的区域（或距离50m以上）。</w:t>
            </w:r>
          </w:p>
        </w:tc>
        <w:tc>
          <w:tcPr>
            <w:tcW w:w="657" w:type="dxa"/>
            <w:vAlign w:val="center"/>
          </w:tcPr>
          <w:p w:rsidR="00F54B0F" w:rsidRDefault="00F54B0F">
            <w:pPr>
              <w:rPr>
                <w:rFonts w:ascii="宋体" w:hAnsi="宋体"/>
                <w:bCs/>
                <w:szCs w:val="21"/>
              </w:rPr>
            </w:pPr>
          </w:p>
        </w:tc>
      </w:tr>
      <w:tr w:rsidR="00F54B0F">
        <w:trPr>
          <w:cantSplit/>
          <w:trHeight w:val="435"/>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食品处理区地面、排水</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1.地面用无毒、无异味、不透水、不易积垢的材料铺设，且平整、无裂缝；</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288"/>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2.粗加工、切配、加工用具清洗消毒和烹调等需经常冲洗场所、易潮湿场所的地面易于清洗、防滑，并有排水系统；</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32"/>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3.地面和排水沟有排水坡度（不小于1.5%），排水的流向由高清洁操作区流向低清洁操作区；</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9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4.排水沟出口有网眼孔径小于6mm的金属隔栅或网罩。</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95"/>
          <w:jc w:val="center"/>
        </w:trPr>
        <w:tc>
          <w:tcPr>
            <w:tcW w:w="1135" w:type="dxa"/>
            <w:vMerge w:val="restart"/>
            <w:tcBorders>
              <w:top w:val="single" w:sz="4" w:space="0" w:color="auto"/>
              <w:left w:val="single" w:sz="4" w:space="0" w:color="auto"/>
              <w:right w:val="single" w:sz="4" w:space="0" w:color="auto"/>
            </w:tcBorders>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墙壁与</w:t>
            </w:r>
          </w:p>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门窗</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1.墙壁采用无毒、无异味、不透水、平滑、不易积垢的浅色材料；</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74"/>
          <w:jc w:val="center"/>
        </w:trPr>
        <w:tc>
          <w:tcPr>
            <w:tcW w:w="1135" w:type="dxa"/>
            <w:vMerge/>
            <w:tcBorders>
              <w:top w:val="single" w:sz="4" w:space="0" w:color="auto"/>
              <w:left w:val="single" w:sz="4" w:space="0" w:color="auto"/>
              <w:right w:val="single" w:sz="4" w:space="0" w:color="auto"/>
            </w:tcBorders>
            <w:vAlign w:val="center"/>
          </w:tcPr>
          <w:p w:rsidR="00F54B0F" w:rsidRDefault="00F54B0F">
            <w:pPr>
              <w:rPr>
                <w:rFonts w:ascii="宋体" w:hAnsi="宋体"/>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2.粗加工、切配、烹调和工用具清洗消毒等场所应有1.5 m以上的光滑、不吸水、浅色、耐用和易清洗的材料制成的墙裙；食品加工专间内应铺设到顶；</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10"/>
          <w:jc w:val="center"/>
        </w:trPr>
        <w:tc>
          <w:tcPr>
            <w:tcW w:w="1135" w:type="dxa"/>
            <w:vMerge/>
            <w:tcBorders>
              <w:top w:val="single" w:sz="4" w:space="0" w:color="auto"/>
              <w:left w:val="single" w:sz="4" w:space="0" w:color="auto"/>
              <w:right w:val="single" w:sz="4" w:space="0" w:color="auto"/>
            </w:tcBorders>
            <w:vAlign w:val="center"/>
          </w:tcPr>
          <w:p w:rsidR="00F54B0F" w:rsidRDefault="00F54B0F">
            <w:pPr>
              <w:rPr>
                <w:rFonts w:ascii="宋体" w:hAnsi="宋体"/>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3.墙角、柱脚、侧面、底面的结合处有一定的弧度；</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624"/>
          <w:jc w:val="center"/>
        </w:trPr>
        <w:tc>
          <w:tcPr>
            <w:tcW w:w="1135" w:type="dxa"/>
            <w:vMerge/>
            <w:tcBorders>
              <w:left w:val="single" w:sz="4" w:space="0" w:color="auto"/>
              <w:right w:val="single" w:sz="4" w:space="0" w:color="auto"/>
            </w:tcBorders>
            <w:vAlign w:val="center"/>
          </w:tcPr>
          <w:p w:rsidR="00F54B0F" w:rsidRDefault="00F54B0F">
            <w:pPr>
              <w:rPr>
                <w:rFonts w:ascii="宋体" w:hAnsi="宋体"/>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4.门、窗装配严密，与外界直接相通的门和可开启的窗设有易于拆下清洗不生锈的纱网或空气幕，与外界直接相通的门和各类专间的门能自动关闭；</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95"/>
          <w:jc w:val="center"/>
        </w:trPr>
        <w:tc>
          <w:tcPr>
            <w:tcW w:w="1135" w:type="dxa"/>
            <w:vMerge/>
            <w:tcBorders>
              <w:left w:val="single" w:sz="4" w:space="0" w:color="auto"/>
              <w:right w:val="single" w:sz="4" w:space="0" w:color="auto"/>
            </w:tcBorders>
            <w:vAlign w:val="center"/>
          </w:tcPr>
          <w:p w:rsidR="00F54B0F" w:rsidRDefault="00F54B0F">
            <w:pPr>
              <w:rPr>
                <w:rFonts w:ascii="宋体" w:hAnsi="宋体"/>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5.内窗台下斜45度以上或采用无窗台结构；</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rPr>
                <w:rFonts w:ascii="宋体" w:hAnsi="宋体"/>
                <w:szCs w:val="21"/>
              </w:rPr>
            </w:pPr>
          </w:p>
        </w:tc>
        <w:tc>
          <w:tcPr>
            <w:tcW w:w="8789" w:type="dxa"/>
            <w:gridSpan w:val="8"/>
            <w:tcBorders>
              <w:top w:val="single" w:sz="4" w:space="0" w:color="auto"/>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6.粗加工、切配、烹调、工用具清洗消毒等场所、食品包装间的门采用易清洗、不吸水的坚固材料制作。</w:t>
            </w:r>
          </w:p>
        </w:tc>
        <w:tc>
          <w:tcPr>
            <w:tcW w:w="657" w:type="dxa"/>
            <w:tcBorders>
              <w:top w:val="single" w:sz="4" w:space="0" w:color="auto"/>
              <w:left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40"/>
          <w:jc w:val="center"/>
        </w:trPr>
        <w:tc>
          <w:tcPr>
            <w:tcW w:w="1135" w:type="dxa"/>
            <w:vMerge w:val="restart"/>
            <w:tcBorders>
              <w:top w:val="single" w:sz="4" w:space="0" w:color="auto"/>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天花板</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w:t>
            </w:r>
            <w:r>
              <w:rPr>
                <w:rFonts w:ascii="仿宋_GB2312" w:eastAsia="仿宋_GB2312" w:hAnsi="宋体" w:cs="宋体" w:hint="eastAsia"/>
                <w:b/>
                <w:color w:val="000000"/>
                <w:spacing w:val="-6"/>
                <w:kern w:val="0"/>
                <w:position w:val="6"/>
                <w:sz w:val="24"/>
                <w:szCs w:val="21"/>
              </w:rPr>
              <w:t>天花板用无毒、无异味、不吸水、表面光洁、耐腐蚀、耐温、浅色材料涂覆或装修；</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624"/>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2.半成品、即食食品暴露场所屋顶若为不平整的结构或有管道通过，加设平整易于清洁的吊顶（吊顶间缝隙应严密封闭）；</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3.水蒸气较多的场所的天花板有适当的坡度（斜坡或拱形均可）。</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85"/>
          <w:jc w:val="center"/>
        </w:trPr>
        <w:tc>
          <w:tcPr>
            <w:tcW w:w="1135" w:type="dxa"/>
            <w:vMerge w:val="restart"/>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洗手消毒设施</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w:t>
            </w:r>
            <w:r>
              <w:rPr>
                <w:rFonts w:ascii="仿宋_GB2312" w:eastAsia="仿宋_GB2312" w:hAnsi="宋体" w:cs="宋体" w:hint="eastAsia"/>
                <w:b/>
                <w:color w:val="000000"/>
                <w:spacing w:val="-6"/>
                <w:kern w:val="0"/>
                <w:position w:val="6"/>
                <w:sz w:val="24"/>
                <w:szCs w:val="21"/>
              </w:rPr>
              <w:t>食品处理区内设置足够数量的非手动式洗手设施，其位置设置在方便员工的区域</w:t>
            </w:r>
            <w:r>
              <w:rPr>
                <w:rFonts w:ascii="仿宋_GB2312" w:eastAsia="仿宋_GB2312" w:hAnsi="宋体" w:cs="宋体" w:hint="eastAsia"/>
                <w:b/>
                <w:color w:val="000000"/>
                <w:kern w:val="0"/>
                <w:position w:val="6"/>
                <w:sz w:val="24"/>
                <w:szCs w:val="21"/>
              </w:rPr>
              <w:t>；</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9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2.洗手池的材质为不透水材料，结构不易积垢并易于清洗；</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67"/>
          <w:jc w:val="center"/>
        </w:trPr>
        <w:tc>
          <w:tcPr>
            <w:tcW w:w="1135" w:type="dxa"/>
            <w:vMerge/>
            <w:tcBorders>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3.洗手消毒设施旁设有相应的清洗、消毒用品和干手设施，员工专用洗手消毒设施附近有洗手消毒方法标识。</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50"/>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工用具清洗消毒保洁设   施</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1.根据加工食品的品种，配备能正常运转的清洗、消毒、保洁设备设施；</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5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2.采用有效的物理消毒或化学消毒方法；</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6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3.各类清洗消毒方式设专用水池的最低数量：①采用化学消毒的，至少设有3个专用水池或容器；②采用热力消毒的，可设置2个专用水池或容器；③各类水池或容器以明显标识标明其用途。</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6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4.接触直接入口食品的工具、容器清洗消毒水池专用，与食品原料、清洁用具及接触非直接入口食品的工具、容器清洗水池分开；</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5.工用具清洗消毒水池使用不锈钢或陶瓷等不透水材料、不易积垢并易于清洗；</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6.设专供存放消毒后工用具的保洁设施，标记明显，易于清洁；</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7.清洗、消毒、保洁设备设施的大小和数量能满足需要。</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939"/>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食品原料、清洁工具清洗水 池</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1.粗加工操作场所分别设动物性食品、植物性食品、水产品3类食品原料的清洗水池，水池数量或容量与加工食品的数量相适应；</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659"/>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2.各类水池以明显标识标明其用途。</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3.加工场所内设专用于拖把等清洁工具、用具的清洗水池，其位置不会污染食品及其加工操作过程。</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67"/>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加工食品设备、工具和容   器</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1.食品烹调后以冷冻（藏）方式保存的，应根据加工食品的品种和数量，配备相应数量的食品快速冷却设备；</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2.应根据待配送食品的品种、数量、配送方式，配备相应的食品包装设备；</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3.接触食品的设备、工具、容器、包装材料等符合食品安全标准或要求；</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4.接触食品的设备、工具和容器易于清洗消毒；</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5.所有食品设备、工具和容器不使用木质材料，因工艺要求必须使用除外；</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6.食品容器、工具和设备与食品的接触面平滑、无凹陷或裂缝（因工艺要求除外）。</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567"/>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通风排烟设 施</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1.食品烹调场所采用机械排风。产生油烟或大量蒸汽的设备上部，加设附有机械排风及油烟过滤的排气装置，过滤器便于清洗和更换；</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2.排气口装有网眼孔径小于6mm的金属隔栅或网罩。</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采光照明设施</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1.加工经营场所光源不改变所观察食品的天然颜色；</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25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2.安装在食品暴露正上方的照明设施使用防护罩；</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271"/>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3.冷冻（藏）库房使用防爆灯。</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废弃物暂   存</w:t>
            </w:r>
          </w:p>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设   施</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1.食品处理区设存放废弃物或垃圾的容器，废弃物容器与加工用容器分类存放并有明显区分的标识；</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63"/>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2.废弃物容器配有盖子，以坚固及不透水的材料制造，内壁光滑便于清洗。专间内的废弃物容器盖子为非手动开启式。</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57"/>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库房和食品贮存场所</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1.食品和非食品（不会导致食品污染的食品容器、包装材料、工用具等物品除外）库房分开设置；</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2.冷藏、冷冻柜（库）数量和结构能使原料、半成品和成品分开存放，有明显区分标识；</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3.除冷库外的库房有良好的通风、防潮、防鼠（如设防鼠板或木质门下方以金属包覆）设施；</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4.冷藏、冷冻库设可正确指示库内温度的温度计；</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5.库房及冷藏、冷冻库内应设置数量足够的物品存放架，能使贮存的食品离地离墙存放。</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rPr>
                <w:rFonts w:ascii="宋体" w:hAnsi="宋体"/>
                <w:bCs/>
                <w:szCs w:val="21"/>
              </w:rPr>
            </w:pPr>
          </w:p>
        </w:tc>
      </w:tr>
      <w:tr w:rsidR="00F54B0F">
        <w:trPr>
          <w:cantSplit/>
          <w:trHeight w:val="495"/>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专间</w:t>
            </w:r>
          </w:p>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要求</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1.专间内无明沟，地漏带水封，专间墙裙铺设到顶；</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49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2.专间只设一扇门，采用易清洗、不吸水的坚固材质，能够自动关闭。窗户封闭；</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5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3.需要直接接触成品的用水，应加装水净化设施；</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624"/>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4.专间内设符合餐饮服务食品安全管理规范要求的空调设施、空气消毒设施、流动</w:t>
            </w:r>
            <w:r>
              <w:rPr>
                <w:rFonts w:ascii="仿宋_GB2312" w:eastAsia="仿宋_GB2312" w:hAnsi="宋体" w:cs="宋体" w:hint="eastAsia"/>
                <w:b/>
                <w:color w:val="000000"/>
                <w:spacing w:val="-6"/>
                <w:kern w:val="0"/>
                <w:position w:val="6"/>
                <w:sz w:val="24"/>
                <w:szCs w:val="21"/>
              </w:rPr>
              <w:t>水源、工具清洗消毒设施；凉菜间、食品冷却间、食品包装间设专用冷冻（藏）设施；</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90"/>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5.专间入口处设置有洗手、消毒、更衣设施的通过式预进间。洗手消毒设施应当为非手触动式。</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397"/>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更衣室</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ind w:left="241" w:hangingChars="100" w:hanging="241"/>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1.更衣场所应与加工经营场所处于同一建筑物内，有足够大小的空间、足够数量的更衣设施和适当的照明及风淋室等；</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495"/>
          <w:jc w:val="center"/>
        </w:trPr>
        <w:tc>
          <w:tcPr>
            <w:tcW w:w="1135" w:type="dxa"/>
            <w:vMerge/>
            <w:tcBorders>
              <w:left w:val="single" w:sz="4" w:space="0" w:color="auto"/>
              <w:right w:val="single" w:sz="4" w:space="0" w:color="auto"/>
            </w:tcBorders>
            <w:vAlign w:val="center"/>
          </w:tcPr>
          <w:p w:rsidR="00F54B0F" w:rsidRDefault="00F54B0F">
            <w:pPr>
              <w:spacing w:line="400" w:lineRule="exact"/>
              <w:jc w:val="center"/>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2.有消毒设施，如紫外灯管或者臭氧发生器等。</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495"/>
          <w:jc w:val="center"/>
        </w:trPr>
        <w:tc>
          <w:tcPr>
            <w:tcW w:w="1135" w:type="dxa"/>
            <w:vMerge w:val="restart"/>
            <w:tcBorders>
              <w:top w:val="single" w:sz="4" w:space="0" w:color="auto"/>
              <w:left w:val="single" w:sz="4" w:space="0" w:color="auto"/>
              <w:right w:val="single" w:sz="4" w:space="0" w:color="auto"/>
            </w:tcBorders>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厕 所</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1.厕所不设在食品处理区；</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6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2.厕所采用水冲式。厕所地面、墙壁、便槽等采用不透水、易清洗、不易积垢的材料，设有效排气装置，有适当照明，与外界相通的窗户设置纱窗，或为封闭式，外门能自动关闭，在出口附近设置洗手设施；</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10"/>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3.厕所排污管道与食品加工操作场所的排水管道分设，并有可靠的防臭气水封。</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327"/>
          <w:jc w:val="center"/>
        </w:trPr>
        <w:tc>
          <w:tcPr>
            <w:tcW w:w="1135" w:type="dxa"/>
            <w:tcBorders>
              <w:top w:val="single" w:sz="4" w:space="0" w:color="auto"/>
              <w:left w:val="single" w:sz="4" w:space="0" w:color="auto"/>
              <w:right w:val="single" w:sz="4" w:space="0" w:color="auto"/>
            </w:tcBorders>
            <w:vAlign w:val="center"/>
          </w:tcPr>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运输</w:t>
            </w:r>
          </w:p>
          <w:p w:rsidR="00F54B0F" w:rsidRDefault="000A1173">
            <w:pPr>
              <w:spacing w:line="400" w:lineRule="exact"/>
              <w:jc w:val="center"/>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设备</w:t>
            </w:r>
          </w:p>
        </w:tc>
        <w:tc>
          <w:tcPr>
            <w:tcW w:w="8789" w:type="dxa"/>
            <w:gridSpan w:val="8"/>
            <w:tcBorders>
              <w:top w:val="single" w:sz="4" w:space="0" w:color="auto"/>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配备与加工食品品种、数量以及贮存要求相适应的封闭式专用运输冷藏车辆，车辆内部结构平整，易清洗。</w:t>
            </w:r>
          </w:p>
        </w:tc>
        <w:tc>
          <w:tcPr>
            <w:tcW w:w="657" w:type="dxa"/>
            <w:tcBorders>
              <w:top w:val="single" w:sz="4" w:space="0" w:color="auto"/>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25"/>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食品检验   和</w:t>
            </w:r>
          </w:p>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留   样</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1.设置与加工制作的食品品种相适应的检验室；</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2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2.配备与检验项目相适应的检验设施和检验人员；</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40"/>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3.配备留样专用容器和冷藏设施，以及留样管理人员。</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620"/>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学生营养餐品</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1.满足不同年龄阶段儿童的年度营养膳食食谱50种；</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8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2.日生产学生营养餐数量不少于5000份；</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40"/>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3.年度可提供多品类学生营养餐套餐不少于50种。</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40"/>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管理</w:t>
            </w:r>
          </w:p>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制度</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spacing w:val="-6"/>
                <w:kern w:val="0"/>
                <w:position w:val="6"/>
                <w:sz w:val="24"/>
                <w:szCs w:val="21"/>
              </w:rPr>
              <w:t>1.食品安全、营养健康、流程管理制度</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40"/>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spacing w:val="-6"/>
                <w:kern w:val="0"/>
                <w:position w:val="6"/>
                <w:sz w:val="24"/>
                <w:szCs w:val="21"/>
              </w:rPr>
            </w:pPr>
            <w:r>
              <w:rPr>
                <w:rFonts w:ascii="仿宋_GB2312" w:eastAsia="仿宋_GB2312" w:hAnsi="宋体" w:cs="宋体" w:hint="eastAsia"/>
                <w:b/>
                <w:color w:val="000000"/>
                <w:spacing w:val="-6"/>
                <w:kern w:val="0"/>
                <w:position w:val="6"/>
                <w:sz w:val="24"/>
                <w:szCs w:val="21"/>
              </w:rPr>
              <w:t>2.防范和抵制食物浪费、垃圾分类、应急方案管理等制度，</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40"/>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spacing w:val="-6"/>
                <w:kern w:val="0"/>
                <w:position w:val="6"/>
                <w:sz w:val="24"/>
                <w:szCs w:val="21"/>
              </w:rPr>
            </w:pPr>
            <w:r>
              <w:rPr>
                <w:rFonts w:ascii="仿宋_GB2312" w:eastAsia="仿宋_GB2312" w:hAnsi="宋体" w:cs="宋体" w:hint="eastAsia"/>
                <w:b/>
                <w:color w:val="000000"/>
                <w:spacing w:val="-6"/>
                <w:kern w:val="0"/>
                <w:position w:val="6"/>
                <w:sz w:val="24"/>
                <w:szCs w:val="21"/>
              </w:rPr>
              <w:t>3.相关工作人员定期自我测评、考核及学习制度</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40"/>
          <w:jc w:val="center"/>
        </w:trPr>
        <w:tc>
          <w:tcPr>
            <w:tcW w:w="1135" w:type="dxa"/>
            <w:vMerge w:val="restart"/>
            <w:tcBorders>
              <w:left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创  新</w:t>
            </w:r>
          </w:p>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举  措</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1.</w:t>
            </w:r>
            <w:r>
              <w:rPr>
                <w:rFonts w:ascii="仿宋_GB2312" w:eastAsia="仿宋_GB2312" w:hAnsi="宋体" w:cs="宋体" w:hint="eastAsia"/>
                <w:b/>
                <w:color w:val="000000"/>
                <w:spacing w:val="-6"/>
                <w:kern w:val="0"/>
                <w:position w:val="6"/>
                <w:sz w:val="24"/>
                <w:szCs w:val="21"/>
              </w:rPr>
              <w:t>具备车间实时监控，可随时查看现场生产情况，可视化展现便于管理和消费者查看；</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49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2.具备远红外管控系统；</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49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3.采用信息化、可视化、可追溯管理等系统；</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10"/>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4.具备先进的清风系统、热回收、光回收系统等；</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2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5.废弃物的创新再利用或知识产权的获得（如专利、商标等）</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555"/>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6.具备餐厨垃圾就地无害化处理系统。</w:t>
            </w: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397"/>
          <w:jc w:val="center"/>
        </w:trPr>
        <w:tc>
          <w:tcPr>
            <w:tcW w:w="1135" w:type="dxa"/>
            <w:vMerge/>
            <w:tcBorders>
              <w:left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其他创新项目：</w:t>
            </w:r>
          </w:p>
          <w:p w:rsidR="00F54B0F" w:rsidRDefault="00F54B0F">
            <w:pPr>
              <w:spacing w:line="400" w:lineRule="exact"/>
              <w:rPr>
                <w:rFonts w:ascii="仿宋_GB2312" w:eastAsia="仿宋_GB2312" w:hAnsi="宋体" w:cs="宋体"/>
                <w:b/>
                <w:color w:val="000000"/>
                <w:kern w:val="0"/>
                <w:position w:val="6"/>
                <w:sz w:val="24"/>
                <w:szCs w:val="21"/>
              </w:rPr>
            </w:pPr>
          </w:p>
          <w:p w:rsidR="00F54B0F" w:rsidRDefault="00F54B0F">
            <w:pPr>
              <w:spacing w:line="400" w:lineRule="exact"/>
              <w:rPr>
                <w:rFonts w:ascii="仿宋_GB2312" w:eastAsia="仿宋_GB2312" w:hAnsi="宋体" w:cs="宋体"/>
                <w:b/>
                <w:color w:val="000000"/>
                <w:kern w:val="0"/>
                <w:position w:val="6"/>
                <w:sz w:val="24"/>
                <w:szCs w:val="21"/>
              </w:rPr>
            </w:pPr>
          </w:p>
          <w:p w:rsidR="00F54B0F" w:rsidRDefault="00F54B0F">
            <w:pPr>
              <w:spacing w:line="400" w:lineRule="exact"/>
              <w:rPr>
                <w:rFonts w:ascii="仿宋_GB2312" w:eastAsia="仿宋_GB2312" w:hAnsi="宋体" w:cs="宋体"/>
                <w:b/>
                <w:color w:val="000000"/>
                <w:kern w:val="0"/>
                <w:position w:val="6"/>
                <w:sz w:val="24"/>
                <w:szCs w:val="21"/>
              </w:rPr>
            </w:pPr>
          </w:p>
        </w:tc>
        <w:tc>
          <w:tcPr>
            <w:tcW w:w="657" w:type="dxa"/>
            <w:tcBorders>
              <w:top w:val="single" w:sz="4" w:space="0" w:color="auto"/>
              <w:left w:val="single" w:sz="4" w:space="0" w:color="auto"/>
              <w:bottom w:val="single" w:sz="4" w:space="0" w:color="auto"/>
              <w:right w:val="single" w:sz="4" w:space="0" w:color="auto"/>
            </w:tcBorders>
            <w:vAlign w:val="center"/>
          </w:tcPr>
          <w:p w:rsidR="00F54B0F" w:rsidRDefault="00F54B0F">
            <w:pPr>
              <w:spacing w:line="400" w:lineRule="exact"/>
              <w:rPr>
                <w:rFonts w:ascii="仿宋_GB2312" w:eastAsia="仿宋_GB2312" w:hAnsi="宋体" w:cs="宋体"/>
                <w:b/>
                <w:color w:val="000000"/>
                <w:kern w:val="0"/>
                <w:position w:val="6"/>
                <w:sz w:val="24"/>
                <w:szCs w:val="21"/>
              </w:rPr>
            </w:pPr>
          </w:p>
        </w:tc>
      </w:tr>
      <w:tr w:rsidR="00F54B0F">
        <w:trPr>
          <w:cantSplit/>
          <w:trHeight w:val="1761"/>
          <w:jc w:val="center"/>
        </w:trPr>
        <w:tc>
          <w:tcPr>
            <w:tcW w:w="10581" w:type="dxa"/>
            <w:gridSpan w:val="10"/>
            <w:tcBorders>
              <w:left w:val="single" w:sz="4" w:space="0" w:color="auto"/>
              <w:right w:val="single" w:sz="4" w:space="0" w:color="auto"/>
            </w:tcBorders>
          </w:tcPr>
          <w:p w:rsidR="00F54B0F" w:rsidRDefault="000A1173">
            <w:pPr>
              <w:spacing w:line="400" w:lineRule="exact"/>
              <w:jc w:val="lef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企业简介：（不少于500字及3张图片）</w:t>
            </w:r>
          </w:p>
          <w:p w:rsidR="00F54B0F" w:rsidRDefault="00F54B0F">
            <w:pPr>
              <w:spacing w:line="400" w:lineRule="exact"/>
              <w:jc w:val="left"/>
              <w:rPr>
                <w:rFonts w:ascii="仿宋_GB2312" w:eastAsia="仿宋_GB2312" w:hAnsi="宋体" w:cs="宋体"/>
                <w:b/>
                <w:color w:val="000000"/>
                <w:kern w:val="0"/>
                <w:position w:val="6"/>
                <w:sz w:val="24"/>
                <w:szCs w:val="21"/>
              </w:rPr>
            </w:pPr>
          </w:p>
        </w:tc>
      </w:tr>
      <w:tr w:rsidR="00F54B0F">
        <w:trPr>
          <w:cantSplit/>
          <w:trHeight w:val="2598"/>
          <w:jc w:val="center"/>
        </w:trPr>
        <w:tc>
          <w:tcPr>
            <w:tcW w:w="5290" w:type="dxa"/>
            <w:gridSpan w:val="5"/>
            <w:tcBorders>
              <w:left w:val="single" w:sz="4" w:space="0" w:color="auto"/>
              <w:right w:val="single" w:sz="4" w:space="0" w:color="auto"/>
            </w:tcBorders>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申报单位意见：</w:t>
            </w:r>
          </w:p>
          <w:p w:rsidR="00F54B0F" w:rsidRDefault="00F54B0F">
            <w:pPr>
              <w:spacing w:line="400" w:lineRule="exact"/>
              <w:ind w:firstLineChars="164" w:firstLine="395"/>
              <w:rPr>
                <w:rFonts w:ascii="仿宋_GB2312" w:eastAsia="仿宋_GB2312" w:hAnsi="宋体" w:cs="宋体"/>
                <w:b/>
                <w:color w:val="000000"/>
                <w:kern w:val="0"/>
                <w:position w:val="6"/>
                <w:sz w:val="24"/>
                <w:szCs w:val="21"/>
              </w:rPr>
            </w:pPr>
          </w:p>
          <w:p w:rsidR="00F54B0F" w:rsidRDefault="00F54B0F">
            <w:pPr>
              <w:spacing w:line="400" w:lineRule="exact"/>
              <w:ind w:firstLineChars="164" w:firstLine="395"/>
              <w:rPr>
                <w:rFonts w:ascii="仿宋_GB2312" w:eastAsia="仿宋_GB2312" w:hAnsi="宋体" w:cs="宋体"/>
                <w:b/>
                <w:color w:val="000000"/>
                <w:kern w:val="0"/>
                <w:position w:val="6"/>
                <w:sz w:val="24"/>
                <w:szCs w:val="21"/>
              </w:rPr>
            </w:pPr>
          </w:p>
          <w:p w:rsidR="00F54B0F" w:rsidRDefault="00F54B0F">
            <w:pPr>
              <w:spacing w:line="400" w:lineRule="exact"/>
              <w:ind w:firstLineChars="900" w:firstLine="2168"/>
              <w:rPr>
                <w:rFonts w:ascii="仿宋_GB2312" w:eastAsia="仿宋_GB2312" w:hAnsi="宋体" w:cs="宋体"/>
                <w:b/>
                <w:color w:val="000000"/>
                <w:kern w:val="0"/>
                <w:position w:val="6"/>
                <w:sz w:val="24"/>
                <w:szCs w:val="21"/>
              </w:rPr>
            </w:pPr>
          </w:p>
          <w:p w:rsidR="00F54B0F" w:rsidRDefault="000A1173">
            <w:pPr>
              <w:spacing w:line="360" w:lineRule="auto"/>
              <w:jc w:val="righ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填申报单位（盖章）</w:t>
            </w:r>
          </w:p>
          <w:p w:rsidR="00F54B0F" w:rsidRDefault="000A1173">
            <w:pPr>
              <w:spacing w:line="360" w:lineRule="auto"/>
              <w:jc w:val="right"/>
            </w:pPr>
            <w:r>
              <w:rPr>
                <w:rFonts w:ascii="仿宋_GB2312" w:eastAsia="仿宋_GB2312" w:hAnsi="宋体" w:cs="宋体" w:hint="eastAsia"/>
                <w:b/>
                <w:color w:val="000000"/>
                <w:kern w:val="0"/>
                <w:position w:val="6"/>
                <w:sz w:val="24"/>
                <w:szCs w:val="21"/>
              </w:rPr>
              <w:t>年    月    日</w:t>
            </w:r>
          </w:p>
        </w:tc>
        <w:tc>
          <w:tcPr>
            <w:tcW w:w="5291" w:type="dxa"/>
            <w:gridSpan w:val="5"/>
            <w:tcBorders>
              <w:left w:val="single" w:sz="4" w:space="0" w:color="auto"/>
              <w:right w:val="single" w:sz="4" w:space="0" w:color="auto"/>
            </w:tcBorders>
          </w:tcPr>
          <w:p w:rsidR="00F54B0F" w:rsidRDefault="000A1173">
            <w:pPr>
              <w:spacing w:line="400" w:lineRule="exact"/>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推荐单位意见：</w:t>
            </w:r>
          </w:p>
          <w:p w:rsidR="00F54B0F" w:rsidRDefault="00F54B0F">
            <w:pPr>
              <w:spacing w:line="400" w:lineRule="exact"/>
              <w:rPr>
                <w:rFonts w:ascii="仿宋_GB2312" w:eastAsia="仿宋_GB2312" w:hAnsi="宋体" w:cs="宋体"/>
                <w:b/>
                <w:color w:val="000000"/>
                <w:kern w:val="0"/>
                <w:position w:val="6"/>
                <w:sz w:val="24"/>
                <w:szCs w:val="21"/>
              </w:rPr>
            </w:pPr>
          </w:p>
          <w:p w:rsidR="00F54B0F" w:rsidRDefault="00F54B0F">
            <w:pPr>
              <w:spacing w:line="400" w:lineRule="exact"/>
              <w:rPr>
                <w:rFonts w:ascii="仿宋_GB2312" w:eastAsia="仿宋_GB2312" w:hAnsi="宋体" w:cs="宋体"/>
                <w:b/>
                <w:color w:val="000000"/>
                <w:kern w:val="0"/>
                <w:position w:val="6"/>
                <w:sz w:val="24"/>
                <w:szCs w:val="21"/>
              </w:rPr>
            </w:pPr>
          </w:p>
          <w:p w:rsidR="00F54B0F" w:rsidRDefault="00F54B0F">
            <w:pPr>
              <w:spacing w:line="400" w:lineRule="exact"/>
              <w:ind w:firstLineChars="800" w:firstLine="1928"/>
              <w:rPr>
                <w:rFonts w:ascii="仿宋_GB2312" w:eastAsia="仿宋_GB2312" w:hAnsi="宋体" w:cs="宋体"/>
                <w:b/>
                <w:color w:val="000000"/>
                <w:kern w:val="0"/>
                <w:position w:val="6"/>
                <w:sz w:val="24"/>
                <w:szCs w:val="21"/>
              </w:rPr>
            </w:pPr>
          </w:p>
          <w:p w:rsidR="00F54B0F" w:rsidRDefault="000A1173">
            <w:pPr>
              <w:spacing w:line="400" w:lineRule="exact"/>
              <w:ind w:firstLineChars="800" w:firstLine="1928"/>
              <w:rPr>
                <w:rFonts w:ascii="仿宋_GB2312" w:eastAsia="仿宋_GB2312" w:hAnsi="宋体" w:cs="宋体"/>
                <w:b/>
                <w:color w:val="000000"/>
                <w:kern w:val="0"/>
                <w:position w:val="6"/>
                <w:sz w:val="24"/>
                <w:szCs w:val="21"/>
              </w:rPr>
            </w:pPr>
            <w:r>
              <w:rPr>
                <w:rFonts w:ascii="仿宋_GB2312" w:eastAsia="仿宋_GB2312" w:hAnsi="宋体" w:cs="宋体" w:hint="eastAsia"/>
                <w:b/>
                <w:color w:val="000000"/>
                <w:kern w:val="0"/>
                <w:position w:val="6"/>
                <w:sz w:val="24"/>
                <w:szCs w:val="21"/>
              </w:rPr>
              <w:t>单位名称：</w:t>
            </w:r>
          </w:p>
          <w:p w:rsidR="00F54B0F" w:rsidRDefault="000A1173">
            <w:pPr>
              <w:spacing w:line="360" w:lineRule="auto"/>
              <w:ind w:leftChars="1000" w:left="2341" w:hangingChars="100" w:hanging="241"/>
              <w:rPr>
                <w:rFonts w:ascii="仿宋_GB2312" w:eastAsia="仿宋_GB2312" w:hAnsi="华文仿宋"/>
                <w:b/>
                <w:sz w:val="28"/>
                <w:szCs w:val="28"/>
              </w:rPr>
            </w:pPr>
            <w:r>
              <w:rPr>
                <w:rFonts w:ascii="仿宋_GB2312" w:eastAsia="仿宋_GB2312" w:hAnsi="宋体" w:cs="宋体" w:hint="eastAsia"/>
                <w:b/>
                <w:color w:val="000000"/>
                <w:kern w:val="0"/>
                <w:position w:val="6"/>
                <w:sz w:val="24"/>
                <w:szCs w:val="21"/>
              </w:rPr>
              <w:t>年  月  日</w:t>
            </w:r>
          </w:p>
        </w:tc>
      </w:tr>
    </w:tbl>
    <w:p w:rsidR="00F54B0F" w:rsidRDefault="00F54B0F">
      <w:pPr>
        <w:spacing w:line="360" w:lineRule="auto"/>
      </w:pPr>
    </w:p>
    <w:p w:rsidR="00F54B0F" w:rsidRDefault="00F54B0F">
      <w:pPr>
        <w:spacing w:line="360" w:lineRule="auto"/>
      </w:pPr>
    </w:p>
    <w:p w:rsidR="00F54B0F" w:rsidRDefault="00F54B0F"/>
    <w:sectPr w:rsidR="00F54B0F" w:rsidSect="00BD36EE">
      <w:footerReference w:type="default" r:id="rId8"/>
      <w:pgSz w:w="11906" w:h="16838"/>
      <w:pgMar w:top="1440" w:right="1800" w:bottom="1440" w:left="1800" w:header="851" w:footer="113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12" w:rsidRDefault="00C12E12">
      <w:r>
        <w:separator/>
      </w:r>
    </w:p>
  </w:endnote>
  <w:endnote w:type="continuationSeparator" w:id="0">
    <w:p w:rsidR="00C12E12" w:rsidRDefault="00C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0F" w:rsidRDefault="000A1173">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54B0F" w:rsidRDefault="000A1173">
                          <w:pPr>
                            <w:pStyle w:val="a3"/>
                          </w:pPr>
                          <w:r>
                            <w:rPr>
                              <w:sz w:val="28"/>
                              <w:szCs w:val="28"/>
                            </w:rPr>
                            <w:fldChar w:fldCharType="begin"/>
                          </w:r>
                          <w:r>
                            <w:rPr>
                              <w:sz w:val="28"/>
                              <w:szCs w:val="28"/>
                            </w:rPr>
                            <w:instrText xml:space="preserve"> PAGE  \* MERGEFORMAT </w:instrText>
                          </w:r>
                          <w:r>
                            <w:rPr>
                              <w:sz w:val="28"/>
                              <w:szCs w:val="28"/>
                            </w:rPr>
                            <w:fldChar w:fldCharType="separate"/>
                          </w:r>
                          <w:r w:rsidR="00C12E12">
                            <w:rPr>
                              <w:noProof/>
                              <w:sz w:val="28"/>
                              <w:szCs w:val="28"/>
                            </w:rPr>
                            <w:t>- 1 -</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F54B0F" w:rsidRDefault="000A1173">
                    <w:pPr>
                      <w:pStyle w:val="a3"/>
                    </w:pPr>
                    <w:r>
                      <w:rPr>
                        <w:sz w:val="28"/>
                        <w:szCs w:val="28"/>
                      </w:rPr>
                      <w:fldChar w:fldCharType="begin"/>
                    </w:r>
                    <w:r>
                      <w:rPr>
                        <w:sz w:val="28"/>
                        <w:szCs w:val="28"/>
                      </w:rPr>
                      <w:instrText xml:space="preserve"> PAGE  \* MERGEFORMAT </w:instrText>
                    </w:r>
                    <w:r>
                      <w:rPr>
                        <w:sz w:val="28"/>
                        <w:szCs w:val="28"/>
                      </w:rPr>
                      <w:fldChar w:fldCharType="separate"/>
                    </w:r>
                    <w:r w:rsidR="00C12E12">
                      <w:rPr>
                        <w:noProof/>
                        <w:sz w:val="28"/>
                        <w:szCs w:val="28"/>
                      </w:rPr>
                      <w:t>- 1 -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12" w:rsidRDefault="00C12E12">
      <w:r>
        <w:separator/>
      </w:r>
    </w:p>
  </w:footnote>
  <w:footnote w:type="continuationSeparator" w:id="0">
    <w:p w:rsidR="00C12E12" w:rsidRDefault="00C1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27E7D"/>
    <w:multiLevelType w:val="multilevel"/>
    <w:tmpl w:val="70D27E7D"/>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yNzUyNGVmYzk4OTE1NTUzNmQ0NDU3ZGUwYzc5NjMifQ=="/>
  </w:docVars>
  <w:rsids>
    <w:rsidRoot w:val="354851C1"/>
    <w:rsid w:val="000A1173"/>
    <w:rsid w:val="00BD36EE"/>
    <w:rsid w:val="00C039FC"/>
    <w:rsid w:val="00C12E12"/>
    <w:rsid w:val="00F54B0F"/>
    <w:rsid w:val="0CC06645"/>
    <w:rsid w:val="13827E3C"/>
    <w:rsid w:val="172356CB"/>
    <w:rsid w:val="1BBA6D7B"/>
    <w:rsid w:val="1FD53A08"/>
    <w:rsid w:val="258D2A47"/>
    <w:rsid w:val="333E5515"/>
    <w:rsid w:val="354851C1"/>
    <w:rsid w:val="44881299"/>
    <w:rsid w:val="483C3C8A"/>
    <w:rsid w:val="51785E5F"/>
    <w:rsid w:val="5936352F"/>
    <w:rsid w:val="60634492"/>
    <w:rsid w:val="66476133"/>
    <w:rsid w:val="6C5A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15EE0"/>
  <w15:docId w15:val="{571D8E9C-76A6-4521-904C-D3A75534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6">
    <w:name w:val="header"/>
    <w:basedOn w:val="a"/>
    <w:link w:val="a7"/>
    <w:rsid w:val="00BD36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D36EE"/>
    <w:rPr>
      <w:rFonts w:ascii="Times New Roman" w:eastAsia="宋体" w:hAnsi="Times New Roman" w:cs="Times New Roman"/>
      <w:kern w:val="2"/>
      <w:sz w:val="18"/>
      <w:szCs w:val="18"/>
    </w:rPr>
  </w:style>
  <w:style w:type="character" w:customStyle="1" w:styleId="a4">
    <w:name w:val="页脚 字符"/>
    <w:basedOn w:val="a0"/>
    <w:link w:val="a3"/>
    <w:uiPriority w:val="99"/>
    <w:rsid w:val="00BD36EE"/>
    <w:rPr>
      <w:rFonts w:ascii="Times New Roman" w:eastAsia="宋体" w:hAnsi="Times New Roman" w:cs="Times New Roman"/>
      <w:kern w:val="2"/>
      <w:sz w:val="18"/>
      <w:szCs w:val="18"/>
    </w:rPr>
  </w:style>
  <w:style w:type="paragraph" w:styleId="a8">
    <w:name w:val="Date"/>
    <w:basedOn w:val="a"/>
    <w:next w:val="a"/>
    <w:link w:val="a9"/>
    <w:rsid w:val="00BD36EE"/>
    <w:pPr>
      <w:ind w:leftChars="2500" w:left="100"/>
    </w:pPr>
  </w:style>
  <w:style w:type="character" w:customStyle="1" w:styleId="a9">
    <w:name w:val="日期 字符"/>
    <w:basedOn w:val="a0"/>
    <w:link w:val="a8"/>
    <w:rsid w:val="00BD36EE"/>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3494</Characters>
  <Application>Microsoft Office Word</Application>
  <DocSecurity>0</DocSecurity>
  <Lines>29</Lines>
  <Paragraphs>8</Paragraphs>
  <ScaleCrop>false</ScaleCrop>
  <Company>Microsoft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cp:revision>
  <cp:lastPrinted>2022-10-27T01:52:00Z</cp:lastPrinted>
  <dcterms:created xsi:type="dcterms:W3CDTF">2022-10-27T07:12:00Z</dcterms:created>
  <dcterms:modified xsi:type="dcterms:W3CDTF">2022-10-27T07:12:00Z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7FDEAD3F77044402B52F6A609341B1E3</vt:lpwstr>
  </property>
</Properties>
</file>